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井冈山大学2021年青年教师讲课比赛方案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bookmarkStart w:id="0" w:name="_GoBack"/>
      <w:bookmarkEnd w:id="0"/>
    </w:p>
    <w:p>
      <w:pPr>
        <w:spacing w:line="54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为了进一步加强教师教学能力培养，提高教师的教学基本功和教学水平，同时促进教师间的相互交流和学习，以达到全面提高教师教学能力和育人质量的目的，学校决定举办2021年教师讲课比赛。为办好本次讲课比赛，特制定本方案。</w:t>
      </w:r>
    </w:p>
    <w:p>
      <w:pPr>
        <w:spacing w:line="540" w:lineRule="exact"/>
        <w:ind w:firstLine="645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一、比赛分组和参赛对象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1.比赛分组。比赛分文科专业</w:t>
      </w:r>
      <w:r>
        <w:rPr>
          <w:rFonts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</w:rPr>
        <w:t>、理科专业组、公共课程组（含思政课）三个组别。</w:t>
      </w:r>
    </w:p>
    <w:p>
      <w:pPr>
        <w:spacing w:line="54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共课具体包括：大学英语（含英语拓展课程）、高等数学、大学物理、大学体育、大学计算机（含基础和应用）、教育学基础、教育心理学、大学生心理健康教育、大学语文、大学生涯规划与就业指导和马克思主义基本原理概论、思想道德修养与法治、毛泽东思想和中国特色社会主义理论体系概论、中国近现代史纲要、形势与政策和井冈山精神教育等全校性公共课程。</w:t>
      </w:r>
    </w:p>
    <w:p>
      <w:pPr>
        <w:spacing w:line="54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2.参赛对象。</w:t>
      </w:r>
      <w:r>
        <w:rPr>
          <w:rFonts w:ascii="仿宋_GB2312" w:hAnsi="仿宋_GB2312" w:eastAsia="仿宋_GB2312" w:cs="仿宋_GB2312"/>
          <w:sz w:val="32"/>
          <w:szCs w:val="32"/>
        </w:rPr>
        <w:t>参赛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教师须具有高校任教经历两年，年龄在4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周岁以下（19</w:t>
      </w:r>
      <w:r>
        <w:rPr>
          <w:rFonts w:ascii="仿宋_GB2312" w:hAnsi="仿宋_GB2312" w:eastAsia="仿宋_GB2312" w:cs="仿宋_GB2312"/>
          <w:sz w:val="32"/>
          <w:szCs w:val="32"/>
        </w:rPr>
        <w:t>76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月31日以后出生）。在符合参赛条件的基础上，优先推荐4</w:t>
      </w:r>
      <w:r>
        <w:rPr>
          <w:rFonts w:ascii="仿宋_GB2312" w:hAnsi="仿宋_GB2312" w:eastAsia="仿宋_GB2312" w:cs="仿宋_GB2312"/>
          <w:sz w:val="32"/>
          <w:szCs w:val="32"/>
        </w:rPr>
        <w:t>0岁以下的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教师参赛。</w:t>
      </w:r>
    </w:p>
    <w:p>
      <w:pPr>
        <w:spacing w:line="54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3.参赛指标</w:t>
      </w:r>
    </w:p>
    <w:p>
      <w:pPr>
        <w:spacing w:line="54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学院（部）根据所属组别，在预赛基础上，每个专业推荐参赛选手1人（教师数在10人以下和已停止招生的专业应并入本学院其他相关专业推荐1人，推荐时注明）。每门公共课由所在开课学院推荐参赛选手1人，其中大学英语和高等数学两门课程各推荐2人参赛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二、比赛形式与安排</w:t>
      </w:r>
    </w:p>
    <w:p>
      <w:pPr>
        <w:spacing w:line="54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1.比赛形式</w:t>
      </w:r>
    </w:p>
    <w:p>
      <w:pPr>
        <w:spacing w:line="54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无生课堂。讲课时间</w:t>
      </w:r>
      <w:r>
        <w:rPr>
          <w:rFonts w:ascii="仿宋_GB2312" w:hAnsi="仿宋_GB2312" w:eastAsia="仿宋_GB2312" w:cs="仿宋_GB2312"/>
          <w:sz w:val="32"/>
          <w:szCs w:val="32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分钟，其中前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分钟向评委介绍本课设计思路，后</w:t>
      </w:r>
      <w:r>
        <w:rPr>
          <w:rFonts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分钟授课。授课期间的互动活动，以授课教师介绍活动安排的方式进行。</w:t>
      </w:r>
    </w:p>
    <w:p>
      <w:pPr>
        <w:spacing w:line="54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2.比赛程序</w:t>
      </w:r>
    </w:p>
    <w:p>
      <w:pPr>
        <w:spacing w:line="54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比赛分院级预赛和校级决赛两个阶段。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第一阶段：院级预赛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（1）时间：</w:t>
      </w:r>
      <w:r>
        <w:rPr>
          <w:rFonts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日至1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组织：各学院（部）自行组织。各学院成立预赛小组，院长为组长、分管教学工作副院长为副组长。预赛小组对符合参赛条件的教师进行听课，根据听课评价，推荐参赛选手。此项工作应列入学院绩效考核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第二阶段：校级决赛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（1）时间：11月27日-28日。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（2）顺序：以抽签方式决定出场顺序。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（3）场地：图书馆西区辅楼微格教室。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三、比赛内容与要求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比赛内容由教学设计、设计思路介绍和课堂教学三部分组成，成绩评定采用百分制，三者权重分别为20%、5%、75%。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1.教学设计。各组参赛课程需提前准备好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个学时的教学设计。每个教学设计以1个学时（4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）为基本单位，基本要素包括题目、对应章节、学情分析、教学目标、教学内容（内容要点与重难点，内容要点含课程思政要点）、教学方法和策略（含课程思政融入策略）、教学过程安排、教学考核、预习任务与课后作业等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教学设计思路。教学设计思路的介绍，重点为围绕教学目标的确立，教学内容与教学目标的关联，教学重点、难点与课程思政要点的确立，教学方法与策略（含课程思政融入策略）与教学内容（教学目标）的关联，考核方式与教学目标（教学内容）的关联，课前预习与课后作业安排，信息技术应用等方面来说明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3.课堂教学。课堂教学规定时间为20分钟，提前准备好3个课堂教学PPT（适应时长2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分钟）。评委主要从教学内容、教学组织、教学语言与教态、教学特色四个方面进行考评。根据各自参赛课程需要，选手可携带教学模型、挂图等辅助教学设备。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四、计分方法</w:t>
      </w:r>
    </w:p>
    <w:p>
      <w:pPr>
        <w:spacing w:line="54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评委评分实行实名制，教学设计、教学设计思路、课堂教学三部分。具体评分细则附后（参见附件）。每部分得分为去掉一个最高分和一个最低分后的平均分。成绩评定采用百分制，选手三个部分的得分相加为最终得分。每项成绩得分</w:t>
      </w:r>
      <w:r>
        <w:rPr>
          <w:rFonts w:ascii="Times New Roman" w:hAnsi="Times New Roman" w:eastAsia="仿宋"/>
          <w:sz w:val="32"/>
          <w:szCs w:val="32"/>
        </w:rPr>
        <w:t>保留小数点后两位。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五、奖项评定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根据得分，每个组按一等奖5%、二等奖15%、三等奖25%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的比例确定获奖人数（各等级获奖人数按比例计算，若不足1人以1人计算，1人以上按四舍五入原则计算）。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六、其它注意事项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1.选手参赛课程（除《井冈山精神教育》外）的实际学分要求不得少于2 学分（含2</w:t>
      </w:r>
      <w:r>
        <w:rPr>
          <w:rFonts w:ascii="仿宋_GB2312" w:hAnsi="仿宋_GB2312" w:eastAsia="仿宋_GB2312" w:cs="仿宋_GB2312"/>
          <w:sz w:val="32"/>
          <w:szCs w:val="32"/>
        </w:rPr>
        <w:t>学分）；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2.选手提交给评委的所有文字材料不得</w:t>
      </w:r>
      <w:r>
        <w:rPr>
          <w:rFonts w:hint="eastAsia" w:ascii="仿宋_GB2312" w:hAnsi="仿宋_GB2312" w:eastAsia="仿宋_GB2312" w:cs="仿宋_GB2312"/>
          <w:sz w:val="32"/>
          <w:szCs w:val="32"/>
        </w:rPr>
        <w:t>涉及版权争议</w:t>
      </w:r>
      <w:r>
        <w:rPr>
          <w:rFonts w:ascii="仿宋_GB2312" w:hAnsi="仿宋_GB2312" w:eastAsia="仿宋_GB2312" w:cs="仿宋_GB2312"/>
          <w:sz w:val="32"/>
          <w:szCs w:val="32"/>
        </w:rPr>
        <w:t>；提交的PPT内容不得重复，如有重复一律取消参赛资格；</w:t>
      </w:r>
    </w:p>
    <w:p>
      <w:pPr>
        <w:spacing w:line="540" w:lineRule="exact"/>
        <w:ind w:firstLine="640" w:firstLineChars="20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sz w:val="32"/>
          <w:szCs w:val="32"/>
        </w:rPr>
        <w:t>3.比赛当天，选手现场抽签确定本人参赛的具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体教学节段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；</w:t>
      </w:r>
    </w:p>
    <w:p>
      <w:pPr>
        <w:spacing w:line="540" w:lineRule="exact"/>
        <w:ind w:firstLine="620" w:firstLineChars="20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4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.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课堂教学全程录像，视频版权归学校所有；</w:t>
      </w:r>
    </w:p>
    <w:p>
      <w:pPr>
        <w:spacing w:line="540" w:lineRule="exact"/>
        <w:ind w:firstLine="620" w:firstLineChars="200"/>
      </w:pP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5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.竞赛安排观摩室，欢迎老师参加观摩。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七、材料提交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决赛课程基本情况信息表（见附件1）；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.课程教学大纲：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提供决赛课程的教学大纲，符合</w:t>
      </w:r>
      <w:r>
        <w:rPr>
          <w:rFonts w:ascii="仿宋_GB2312" w:hAnsi="仿宋_GB2312" w:eastAsia="仿宋_GB2312" w:cs="仿宋_GB2312"/>
          <w:sz w:val="32"/>
          <w:szCs w:val="32"/>
        </w:rPr>
        <w:t>学校20</w:t>
      </w:r>
      <w:r>
        <w:rPr>
          <w:rFonts w:hint="eastAsia" w:ascii="仿宋_GB2312" w:hAnsi="仿宋_GB2312" w:eastAsia="仿宋_GB2312" w:cs="仿宋_GB2312"/>
          <w:sz w:val="32"/>
          <w:szCs w:val="32"/>
        </w:rPr>
        <w:t>21</w:t>
      </w:r>
      <w:r>
        <w:rPr>
          <w:rFonts w:ascii="仿宋_GB2312" w:hAnsi="仿宋_GB2312" w:eastAsia="仿宋_GB2312" w:cs="仿宋_GB2312"/>
          <w:sz w:val="32"/>
          <w:szCs w:val="32"/>
        </w:rPr>
        <w:t>版格式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.教学设计：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提供3个课时的教学设计，正文一级标题用3号黑体加粗;二级标题用4号黑体加粗;三级标题用小4号黑体加粗。正文内容用小4号宋体，1.5倍行距，格式为PDF文档通用格式。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.教学PPT：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提供与教学设计相匹配的教学P</w:t>
      </w:r>
      <w:r>
        <w:rPr>
          <w:rFonts w:ascii="仿宋_GB2312" w:hAnsi="仿宋_GB2312" w:eastAsia="仿宋_GB2312" w:cs="仿宋_GB2312"/>
          <w:sz w:val="32"/>
          <w:szCs w:val="32"/>
        </w:rPr>
        <w:t>PT</w:t>
      </w:r>
      <w:r>
        <w:rPr>
          <w:rFonts w:hint="eastAsia" w:ascii="仿宋_GB2312" w:hAnsi="仿宋_GB2312" w:eastAsia="仿宋_GB2312" w:cs="仿宋_GB2312"/>
          <w:sz w:val="32"/>
          <w:szCs w:val="32"/>
        </w:rPr>
        <w:t>，适合在</w:t>
      </w:r>
      <w:r>
        <w:rPr>
          <w:rFonts w:ascii="仿宋_GB2312" w:hAnsi="仿宋_GB2312" w:eastAsia="仿宋_GB2312" w:cs="仿宋_GB2312"/>
          <w:sz w:val="32"/>
          <w:szCs w:val="32"/>
        </w:rPr>
        <w:t>win7</w:t>
      </w:r>
      <w:r>
        <w:rPr>
          <w:rFonts w:hint="eastAsia" w:ascii="仿宋_GB2312" w:hAnsi="仿宋_GB2312" w:eastAsia="仿宋_GB2312" w:cs="仿宋_GB2312"/>
          <w:sz w:val="32"/>
          <w:szCs w:val="32"/>
        </w:rPr>
        <w:t>及以上系统运行</w:t>
      </w:r>
      <w:r>
        <w:rPr>
          <w:rFonts w:ascii="仿宋_GB2312" w:hAnsi="仿宋_GB2312" w:eastAsia="仿宋_GB2312" w:cs="仿宋_GB2312"/>
          <w:sz w:val="32"/>
          <w:szCs w:val="32"/>
        </w:rPr>
        <w:t>，内容与序号须与教学设计的内容与序号相对应</w:t>
      </w:r>
      <w:r>
        <w:rPr>
          <w:rFonts w:hint="eastAsia" w:ascii="仿宋_GB2312" w:hAnsi="仿宋_GB2312" w:eastAsia="仿宋_GB2312" w:cs="仿宋_GB2312"/>
          <w:sz w:val="32"/>
          <w:szCs w:val="32"/>
        </w:rPr>
        <w:t>，单独文件夹存放。</w:t>
      </w:r>
      <w:r>
        <w:rPr>
          <w:rFonts w:ascii="仿宋_GB2312" w:hAnsi="仿宋_GB2312" w:eastAsia="仿宋_GB2312" w:cs="仿宋_GB2312"/>
          <w:sz w:val="32"/>
          <w:szCs w:val="32"/>
        </w:rPr>
        <w:t>PPT</w:t>
      </w:r>
      <w:r>
        <w:rPr>
          <w:rFonts w:hint="eastAsia" w:ascii="仿宋_GB2312" w:hAnsi="仿宋_GB2312" w:eastAsia="仿宋_GB2312" w:cs="仿宋_GB2312"/>
          <w:sz w:val="32"/>
          <w:szCs w:val="32"/>
        </w:rPr>
        <w:t>大小应设置为宽屏16:9，与P</w:t>
      </w:r>
      <w:r>
        <w:rPr>
          <w:rFonts w:ascii="仿宋_GB2312" w:hAnsi="仿宋_GB2312" w:eastAsia="仿宋_GB2312" w:cs="仿宋_GB2312"/>
          <w:sz w:val="32"/>
          <w:szCs w:val="32"/>
        </w:rPr>
        <w:t>PT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相关的音频、视频文档一并上传。若PPT有特殊播放要求，请提前向教师教学发展中心提出。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参赛教师</w:t>
      </w:r>
      <w:r>
        <w:rPr>
          <w:rFonts w:ascii="仿宋_GB2312" w:hAnsi="仿宋_GB2312" w:eastAsia="仿宋_GB2312" w:cs="仿宋_GB2312"/>
          <w:sz w:val="32"/>
          <w:szCs w:val="32"/>
        </w:rPr>
        <w:t>以上三个材料打包压缩后以“</w:t>
      </w:r>
      <w:r>
        <w:rPr>
          <w:rFonts w:hint="eastAsia" w:ascii="仿宋_GB2312" w:hAnsi="仿宋_GB2312" w:eastAsia="仿宋_GB2312" w:cs="仿宋_GB2312"/>
          <w:sz w:val="32"/>
          <w:szCs w:val="32"/>
        </w:rPr>
        <w:t>组别+姓名</w:t>
      </w:r>
      <w:r>
        <w:rPr>
          <w:rFonts w:ascii="仿宋_GB2312" w:hAnsi="仿宋_GB2312" w:eastAsia="仿宋_GB2312" w:cs="仿宋_GB2312"/>
          <w:sz w:val="32"/>
          <w:szCs w:val="32"/>
        </w:rPr>
        <w:t>”命名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提交学院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汇总以</w:t>
      </w:r>
      <w:r>
        <w:rPr>
          <w:rFonts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组别+学院</w:t>
      </w:r>
      <w:r>
        <w:rPr>
          <w:rFonts w:ascii="仿宋_GB2312" w:hAnsi="仿宋_GB2312" w:eastAsia="仿宋_GB2312" w:cs="仿宋_GB2312"/>
          <w:sz w:val="32"/>
          <w:szCs w:val="32"/>
        </w:rPr>
        <w:t>”命名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文件夹，在</w:t>
      </w:r>
      <w:r>
        <w:rPr>
          <w:rFonts w:ascii="仿宋_GB2312" w:hAnsi="仿宋_GB2312" w:eastAsia="仿宋_GB2312" w:cs="仿宋_GB2312"/>
          <w:sz w:val="32"/>
          <w:szCs w:val="32"/>
        </w:rPr>
        <w:t>11月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ascii="仿宋_GB2312" w:hAnsi="仿宋_GB2312" w:eastAsia="仿宋_GB2312" w:cs="仿宋_GB2312"/>
          <w:sz w:val="32"/>
          <w:szCs w:val="32"/>
        </w:rPr>
        <w:t>日前发</w:t>
      </w:r>
      <w:r>
        <w:rPr>
          <w:rFonts w:hint="eastAsia" w:ascii="仿宋_GB2312" w:hAnsi="仿宋_GB2312" w:eastAsia="仿宋_GB2312" w:cs="仿宋_GB2312"/>
          <w:sz w:val="32"/>
          <w:szCs w:val="32"/>
        </w:rPr>
        <w:t>送</w:t>
      </w:r>
      <w:r>
        <w:rPr>
          <w:rFonts w:ascii="仿宋_GB2312" w:hAnsi="仿宋_GB2312" w:eastAsia="仿宋_GB2312" w:cs="仿宋_GB2312"/>
          <w:sz w:val="32"/>
          <w:szCs w:val="32"/>
        </w:rPr>
        <w:t>教师教学发展中心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</w:rPr>
        <w:t>吴高翔</w:t>
      </w:r>
      <w:r>
        <w:rPr>
          <w:rFonts w:ascii="仿宋_GB2312" w:hAnsi="仿宋_GB2312" w:eastAsia="仿宋_GB2312" w:cs="仿宋_GB2312"/>
          <w:sz w:val="32"/>
          <w:szCs w:val="32"/>
        </w:rPr>
        <w:t>，电话：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0796-</w:t>
      </w:r>
      <w:r>
        <w:rPr>
          <w:rFonts w:ascii="仿宋_GB2312" w:hAnsi="仿宋_GB2312" w:eastAsia="仿宋_GB2312" w:cs="仿宋_GB2312"/>
          <w:sz w:val="32"/>
          <w:szCs w:val="32"/>
        </w:rPr>
        <w:t>8100</w:t>
      </w:r>
      <w:r>
        <w:rPr>
          <w:rFonts w:hint="eastAsia" w:ascii="仿宋_GB2312" w:hAnsi="仿宋_GB2312" w:eastAsia="仿宋_GB2312" w:cs="仿宋_GB2312"/>
          <w:sz w:val="32"/>
          <w:szCs w:val="32"/>
        </w:rPr>
        <w:t>322</w:t>
      </w:r>
      <w:r>
        <w:rPr>
          <w:rFonts w:ascii="仿宋_GB2312" w:hAnsi="仿宋_GB2312" w:eastAsia="仿宋_GB2312" w:cs="仿宋_GB2312"/>
          <w:sz w:val="32"/>
          <w:szCs w:val="32"/>
        </w:rPr>
        <w:t>，QQ:</w:t>
      </w:r>
      <w:r>
        <w:rPr>
          <w:rFonts w:hint="eastAsia" w:ascii="仿宋_GB2312" w:hAnsi="仿宋_GB2312" w:eastAsia="仿宋_GB2312" w:cs="仿宋_GB2312"/>
          <w:sz w:val="32"/>
          <w:szCs w:val="32"/>
        </w:rPr>
        <w:t>5577032）。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 青年教师讲课比赛教学设计（模版）</w:t>
      </w:r>
    </w:p>
    <w:p>
      <w:pPr>
        <w:numPr>
          <w:ilvl w:val="0"/>
          <w:numId w:val="1"/>
        </w:num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青年教师讲课比赛“教学设计”评分细则</w:t>
      </w:r>
    </w:p>
    <w:p>
      <w:pPr>
        <w:numPr>
          <w:ilvl w:val="0"/>
          <w:numId w:val="1"/>
        </w:num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青年教师讲课比赛“课堂教学”评分细则</w:t>
      </w:r>
    </w:p>
    <w:p>
      <w:pPr>
        <w:numPr>
          <w:ilvl w:val="0"/>
          <w:numId w:val="1"/>
        </w:num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青年教师讲课比赛“教学设计思路介绍”评分细则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教师教学发展中心</w:t>
      </w:r>
    </w:p>
    <w:p>
      <w:pPr>
        <w:spacing w:line="54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10" w:h="16840"/>
          <w:pgMar w:top="2098" w:right="1587" w:bottom="2041" w:left="1587" w:header="0" w:footer="1111" w:gutter="0"/>
          <w:paperSrc/>
          <w:cols w:equalWidth="0" w:num="1">
            <w:col w:w="9250"/>
          </w:cols>
          <w:rtlGutter w:val="0"/>
          <w:docGrid w:linePitch="0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2021年9月</w:t>
      </w:r>
      <w:r>
        <w:rPr>
          <w:rFonts w:ascii="仿宋_GB2312" w:hAnsi="仿宋_GB2312" w:eastAsia="仿宋_GB2312" w:cs="仿宋_GB2312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40" w:lineRule="exact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b/>
          <w:bCs/>
          <w:sz w:val="28"/>
          <w:szCs w:val="28"/>
        </w:rPr>
        <w:t>1</w:t>
      </w:r>
    </w:p>
    <w:p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青年教师讲课比赛教学设计（模版）</w:t>
      </w:r>
    </w:p>
    <w:p>
      <w:pPr>
        <w:spacing w:line="360" w:lineRule="auto"/>
        <w:ind w:firstLine="420"/>
        <w:jc w:val="left"/>
        <w:rPr>
          <w:rFonts w:asciiTheme="minorEastAsia" w:hAnsiTheme="minorEastAsia" w:cstheme="minorEastAsia"/>
          <w:sz w:val="24"/>
        </w:rPr>
      </w:pPr>
    </w:p>
    <w:p>
      <w:pPr>
        <w:spacing w:line="360" w:lineRule="auto"/>
        <w:ind w:firstLine="420"/>
        <w:jc w:val="left"/>
        <w:rPr>
          <w:rFonts w:ascii="黑体" w:hAnsi="黑体" w:eastAsia="黑体" w:cstheme="minorEastAsia"/>
          <w:sz w:val="32"/>
          <w:szCs w:val="32"/>
        </w:rPr>
      </w:pPr>
      <w:r>
        <w:rPr>
          <w:rFonts w:hint="eastAsia" w:ascii="黑体" w:hAnsi="黑体" w:eastAsia="黑体" w:cstheme="minorEastAsia"/>
          <w:sz w:val="32"/>
          <w:szCs w:val="32"/>
        </w:rPr>
        <w:t>一、参赛课程基本信息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701"/>
        <w:gridCol w:w="1275"/>
        <w:gridCol w:w="1985"/>
        <w:gridCol w:w="1701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课程名称</w:t>
            </w:r>
          </w:p>
        </w:tc>
        <w:tc>
          <w:tcPr>
            <w:tcW w:w="1701" w:type="dxa"/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面向专业</w:t>
            </w:r>
          </w:p>
        </w:tc>
        <w:tc>
          <w:tcPr>
            <w:tcW w:w="1985" w:type="dxa"/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学分</w:t>
            </w:r>
          </w:p>
        </w:tc>
        <w:tc>
          <w:tcPr>
            <w:tcW w:w="1136" w:type="dxa"/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开课学院</w:t>
            </w:r>
          </w:p>
        </w:tc>
        <w:tc>
          <w:tcPr>
            <w:tcW w:w="1701" w:type="dxa"/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授课教师</w:t>
            </w:r>
          </w:p>
        </w:tc>
        <w:tc>
          <w:tcPr>
            <w:tcW w:w="1985" w:type="dxa"/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课程性质</w:t>
            </w:r>
          </w:p>
        </w:tc>
        <w:tc>
          <w:tcPr>
            <w:tcW w:w="1136" w:type="dxa"/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参赛内容所选章节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备注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>
      <w:pPr>
        <w:spacing w:line="360" w:lineRule="auto"/>
        <w:ind w:firstLine="420"/>
        <w:jc w:val="left"/>
        <w:rPr>
          <w:rFonts w:asciiTheme="minorEastAsia" w:hAnsiTheme="minorEastAsia" w:cstheme="minorEastAsia"/>
          <w:sz w:val="24"/>
        </w:rPr>
      </w:pPr>
    </w:p>
    <w:p>
      <w:pPr>
        <w:spacing w:line="360" w:lineRule="auto"/>
        <w:ind w:firstLine="420"/>
        <w:jc w:val="left"/>
        <w:rPr>
          <w:rFonts w:ascii="黑体" w:hAnsi="黑体" w:eastAsia="黑体" w:cstheme="minorEastAsia"/>
          <w:sz w:val="32"/>
          <w:szCs w:val="32"/>
        </w:rPr>
      </w:pPr>
      <w:r>
        <w:rPr>
          <w:rFonts w:hint="eastAsia" w:ascii="黑体" w:hAnsi="黑体" w:eastAsia="黑体" w:cstheme="minorEastAsia"/>
          <w:sz w:val="32"/>
          <w:szCs w:val="32"/>
        </w:rPr>
        <w:t>二、教学设计内容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7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题目</w:t>
            </w:r>
          </w:p>
        </w:tc>
        <w:tc>
          <w:tcPr>
            <w:tcW w:w="7515" w:type="dxa"/>
            <w:vAlign w:val="center"/>
          </w:tcPr>
          <w:p>
            <w:pPr>
              <w:spacing w:before="120" w:beforeLines="50" w:after="120" w:afterLines="50" w:line="30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51" w:type="dxa"/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对应章节</w:t>
            </w:r>
          </w:p>
        </w:tc>
        <w:tc>
          <w:tcPr>
            <w:tcW w:w="7515" w:type="dxa"/>
            <w:vAlign w:val="center"/>
          </w:tcPr>
          <w:p>
            <w:pPr>
              <w:spacing w:before="120" w:beforeLines="50" w:after="120" w:afterLines="50" w:line="30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学情分析</w:t>
            </w:r>
          </w:p>
        </w:tc>
        <w:tc>
          <w:tcPr>
            <w:tcW w:w="7515" w:type="dxa"/>
            <w:vAlign w:val="center"/>
          </w:tcPr>
          <w:p>
            <w:pPr>
              <w:spacing w:before="120" w:beforeLines="50" w:after="120" w:afterLines="50" w:line="30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951" w:type="dxa"/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教学目标</w:t>
            </w:r>
          </w:p>
        </w:tc>
        <w:tc>
          <w:tcPr>
            <w:tcW w:w="7515" w:type="dxa"/>
            <w:vAlign w:val="center"/>
          </w:tcPr>
          <w:p>
            <w:pPr>
              <w:spacing w:before="120" w:beforeLines="50" w:after="120" w:afterLines="50" w:line="30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教学内容</w:t>
            </w:r>
          </w:p>
        </w:tc>
        <w:tc>
          <w:tcPr>
            <w:tcW w:w="7515" w:type="dxa"/>
            <w:vAlign w:val="center"/>
          </w:tcPr>
          <w:p>
            <w:pPr>
              <w:spacing w:before="120" w:beforeLines="50" w:after="120" w:afterLines="50" w:line="3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内容要点：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515" w:type="dxa"/>
            <w:vAlign w:val="center"/>
          </w:tcPr>
          <w:p>
            <w:pPr>
              <w:spacing w:before="120" w:beforeLines="50" w:after="120" w:afterLines="50" w:line="3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重点、难点：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515" w:type="dxa"/>
            <w:vAlign w:val="center"/>
          </w:tcPr>
          <w:p>
            <w:pPr>
              <w:spacing w:before="120" w:beforeLines="50" w:after="120" w:afterLines="50" w:line="3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课程思政要点：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教学方法和策略</w:t>
            </w:r>
          </w:p>
        </w:tc>
        <w:tc>
          <w:tcPr>
            <w:tcW w:w="7515" w:type="dxa"/>
            <w:vAlign w:val="center"/>
          </w:tcPr>
          <w:p>
            <w:pPr>
              <w:spacing w:before="120" w:beforeLines="50" w:after="120" w:afterLines="50" w:line="3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课程思政融入：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515" w:type="dxa"/>
            <w:vAlign w:val="center"/>
          </w:tcPr>
          <w:p>
            <w:pPr>
              <w:spacing w:before="120" w:beforeLines="50" w:after="120" w:afterLines="50" w:line="3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知识教学与能力培养：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515" w:type="dxa"/>
            <w:vAlign w:val="center"/>
          </w:tcPr>
          <w:p>
            <w:pPr>
              <w:spacing w:before="120" w:beforeLines="50" w:after="120" w:afterLines="50" w:line="3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信息技术运行：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教学过程安排</w:t>
            </w:r>
          </w:p>
        </w:tc>
        <w:tc>
          <w:tcPr>
            <w:tcW w:w="7515" w:type="dxa"/>
            <w:vAlign w:val="center"/>
          </w:tcPr>
          <w:p>
            <w:pPr>
              <w:spacing w:before="120" w:beforeLines="50" w:after="120" w:afterLines="50" w:line="30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考核方式</w:t>
            </w:r>
          </w:p>
        </w:tc>
        <w:tc>
          <w:tcPr>
            <w:tcW w:w="7515" w:type="dxa"/>
            <w:vAlign w:val="center"/>
          </w:tcPr>
          <w:p>
            <w:pPr>
              <w:spacing w:before="120" w:beforeLines="50" w:after="120" w:afterLines="50" w:line="30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51" w:type="dxa"/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预习任务</w:t>
            </w:r>
          </w:p>
        </w:tc>
        <w:tc>
          <w:tcPr>
            <w:tcW w:w="7515" w:type="dxa"/>
            <w:vAlign w:val="center"/>
          </w:tcPr>
          <w:p>
            <w:pPr>
              <w:spacing w:before="120" w:beforeLines="50" w:after="120" w:afterLines="50" w:line="30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课后作业</w:t>
            </w:r>
          </w:p>
        </w:tc>
        <w:tc>
          <w:tcPr>
            <w:tcW w:w="7515" w:type="dxa"/>
            <w:vAlign w:val="center"/>
          </w:tcPr>
          <w:p>
            <w:pPr>
              <w:spacing w:before="120" w:beforeLines="50" w:after="120" w:afterLines="50" w:line="30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>
      <w:pPr>
        <w:spacing w:line="360" w:lineRule="auto"/>
        <w:ind w:firstLine="420"/>
        <w:jc w:val="left"/>
        <w:rPr>
          <w:rFonts w:asciiTheme="minorEastAsia" w:hAnsiTheme="minorEastAsia" w:cstheme="minorEastAsia"/>
          <w:sz w:val="24"/>
        </w:rPr>
      </w:pPr>
    </w:p>
    <w:p>
      <w:pPr>
        <w:widowControl/>
        <w:jc w:val="left"/>
      </w:pPr>
      <w:r>
        <w:br w:type="page"/>
      </w:r>
    </w:p>
    <w:p>
      <w:pPr>
        <w:spacing w:line="540" w:lineRule="exact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b/>
          <w:bCs/>
          <w:sz w:val="28"/>
          <w:szCs w:val="28"/>
        </w:rPr>
        <w:t>2</w:t>
      </w:r>
    </w:p>
    <w:p>
      <w:pPr>
        <w:pStyle w:val="2"/>
        <w:rPr>
          <w:sz w:val="20"/>
        </w:rPr>
      </w:pPr>
    </w:p>
    <w:p>
      <w:pPr>
        <w:pStyle w:val="2"/>
        <w:jc w:val="center"/>
        <w:rPr>
          <w:b/>
          <w:bCs/>
          <w:lang w:val="en-US"/>
        </w:rPr>
      </w:pPr>
      <w:r>
        <w:rPr>
          <w:rFonts w:hint="eastAsia"/>
          <w:b/>
          <w:bCs/>
        </w:rPr>
        <w:t>青年教师讲课比赛“教学设计”评分细则</w:t>
      </w:r>
    </w:p>
    <w:p>
      <w:pPr>
        <w:pStyle w:val="2"/>
        <w:spacing w:before="2"/>
        <w:rPr>
          <w:sz w:val="7"/>
        </w:rPr>
      </w:pPr>
    </w:p>
    <w:p>
      <w:pPr>
        <w:tabs>
          <w:tab w:val="left" w:pos="3397"/>
        </w:tabs>
        <w:spacing w:before="70"/>
        <w:ind w:left="111"/>
        <w:jc w:val="left"/>
        <w:rPr>
          <w:rFonts w:ascii="Times New Roman" w:eastAsia="Times New Roman"/>
          <w:sz w:val="28"/>
        </w:rPr>
      </w:pPr>
      <w:r>
        <w:rPr>
          <w:rFonts w:hint="eastAsia"/>
          <w:sz w:val="28"/>
        </w:rPr>
        <w:t>参赛者姓名</w:t>
      </w:r>
      <w:r>
        <w:rPr>
          <w:sz w:val="28"/>
        </w:rPr>
        <w:t>：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p>
      <w:pPr>
        <w:pStyle w:val="2"/>
        <w:spacing w:before="6"/>
        <w:rPr>
          <w:rFonts w:ascii="Times New Roman"/>
          <w:sz w:val="11"/>
        </w:rPr>
      </w:pPr>
    </w:p>
    <w:tbl>
      <w:tblPr>
        <w:tblStyle w:val="7"/>
        <w:tblW w:w="8855" w:type="dxa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4"/>
        <w:gridCol w:w="5577"/>
        <w:gridCol w:w="984"/>
        <w:gridCol w:w="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404" w:type="dxa"/>
            <w:vAlign w:val="center"/>
          </w:tcPr>
          <w:p>
            <w:pPr>
              <w:pStyle w:val="38"/>
              <w:ind w:left="4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</w:t>
            </w:r>
          </w:p>
        </w:tc>
        <w:tc>
          <w:tcPr>
            <w:tcW w:w="5577" w:type="dxa"/>
            <w:vAlign w:val="center"/>
          </w:tcPr>
          <w:p>
            <w:pPr>
              <w:pStyle w:val="38"/>
              <w:ind w:left="2254" w:right="2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评测要求</w:t>
            </w:r>
          </w:p>
        </w:tc>
        <w:tc>
          <w:tcPr>
            <w:tcW w:w="984" w:type="dxa"/>
            <w:vAlign w:val="center"/>
          </w:tcPr>
          <w:p>
            <w:pPr>
              <w:pStyle w:val="38"/>
              <w:ind w:left="143" w:right="1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分值</w:t>
            </w:r>
          </w:p>
        </w:tc>
        <w:tc>
          <w:tcPr>
            <w:tcW w:w="890" w:type="dxa"/>
            <w:vAlign w:val="center"/>
          </w:tcPr>
          <w:p>
            <w:pPr>
              <w:pStyle w:val="38"/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04" w:type="dxa"/>
            <w:vMerge w:val="restart"/>
            <w:vAlign w:val="center"/>
          </w:tcPr>
          <w:p>
            <w:pPr>
              <w:pStyle w:val="38"/>
              <w:spacing w:line="321" w:lineRule="auto"/>
              <w:ind w:left="419" w:right="4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教学设计方案</w:t>
            </w:r>
          </w:p>
        </w:tc>
        <w:tc>
          <w:tcPr>
            <w:tcW w:w="5577" w:type="dxa"/>
            <w:vAlign w:val="center"/>
          </w:tcPr>
          <w:p>
            <w:pPr>
              <w:pStyle w:val="38"/>
              <w:ind w:left="1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紧密围绕立德树人根本任务</w:t>
            </w:r>
          </w:p>
        </w:tc>
        <w:tc>
          <w:tcPr>
            <w:tcW w:w="984" w:type="dxa"/>
            <w:vAlign w:val="center"/>
          </w:tcPr>
          <w:p>
            <w:pPr>
              <w:pStyle w:val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0" w:type="dxa"/>
            <w:vAlign w:val="center"/>
          </w:tcPr>
          <w:p>
            <w:pPr>
              <w:pStyle w:val="38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04" w:type="dxa"/>
            <w:vMerge w:val="continue"/>
            <w:vAlign w:val="center"/>
          </w:tcPr>
          <w:p>
            <w:pPr>
              <w:pStyle w:val="38"/>
              <w:spacing w:line="321" w:lineRule="auto"/>
              <w:ind w:left="419" w:right="408"/>
              <w:jc w:val="center"/>
              <w:rPr>
                <w:sz w:val="24"/>
                <w:szCs w:val="24"/>
              </w:rPr>
            </w:pPr>
          </w:p>
        </w:tc>
        <w:tc>
          <w:tcPr>
            <w:tcW w:w="5577" w:type="dxa"/>
            <w:vAlign w:val="center"/>
          </w:tcPr>
          <w:p>
            <w:pPr>
              <w:pStyle w:val="38"/>
              <w:ind w:left="1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符合教学大纲，内容充实，反映学科前沿</w:t>
            </w:r>
          </w:p>
        </w:tc>
        <w:tc>
          <w:tcPr>
            <w:tcW w:w="984" w:type="dxa"/>
            <w:vAlign w:val="center"/>
          </w:tcPr>
          <w:p>
            <w:pPr>
              <w:pStyle w:val="3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890" w:type="dxa"/>
            <w:vAlign w:val="center"/>
          </w:tcPr>
          <w:p>
            <w:pPr>
              <w:pStyle w:val="38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0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7" w:type="dxa"/>
            <w:vAlign w:val="center"/>
          </w:tcPr>
          <w:p>
            <w:pPr>
              <w:pStyle w:val="38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教学目标明确、思路清晰</w:t>
            </w:r>
          </w:p>
        </w:tc>
        <w:tc>
          <w:tcPr>
            <w:tcW w:w="984" w:type="dxa"/>
            <w:vAlign w:val="center"/>
          </w:tcPr>
          <w:p>
            <w:pPr>
              <w:pStyle w:val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90" w:type="dxa"/>
            <w:vAlign w:val="center"/>
          </w:tcPr>
          <w:p>
            <w:pPr>
              <w:pStyle w:val="38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0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7" w:type="dxa"/>
            <w:vAlign w:val="center"/>
          </w:tcPr>
          <w:p>
            <w:pPr>
              <w:pStyle w:val="38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准确把握课程的重点、难点和课程思政要点</w:t>
            </w:r>
          </w:p>
        </w:tc>
        <w:tc>
          <w:tcPr>
            <w:tcW w:w="984" w:type="dxa"/>
            <w:vAlign w:val="center"/>
          </w:tcPr>
          <w:p>
            <w:pPr>
              <w:pStyle w:val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90" w:type="dxa"/>
            <w:vAlign w:val="center"/>
          </w:tcPr>
          <w:p>
            <w:pPr>
              <w:pStyle w:val="38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0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7" w:type="dxa"/>
            <w:vAlign w:val="center"/>
          </w:tcPr>
          <w:p>
            <w:pPr>
              <w:pStyle w:val="38"/>
              <w:ind w:left="108" w:right="-4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教学进程组织合理，方法手段运用恰当有效</w:t>
            </w:r>
          </w:p>
        </w:tc>
        <w:tc>
          <w:tcPr>
            <w:tcW w:w="984" w:type="dxa"/>
            <w:vAlign w:val="center"/>
          </w:tcPr>
          <w:p>
            <w:pPr>
              <w:pStyle w:val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90" w:type="dxa"/>
            <w:vAlign w:val="center"/>
          </w:tcPr>
          <w:p>
            <w:pPr>
              <w:pStyle w:val="38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0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7" w:type="dxa"/>
            <w:vAlign w:val="center"/>
          </w:tcPr>
          <w:p>
            <w:pPr>
              <w:pStyle w:val="38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文字表达准确、简洁，阐述清楚</w:t>
            </w:r>
          </w:p>
        </w:tc>
        <w:tc>
          <w:tcPr>
            <w:tcW w:w="984" w:type="dxa"/>
            <w:vAlign w:val="center"/>
          </w:tcPr>
          <w:p>
            <w:pPr>
              <w:pStyle w:val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0" w:type="dxa"/>
            <w:vAlign w:val="center"/>
          </w:tcPr>
          <w:p>
            <w:pPr>
              <w:pStyle w:val="38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1404" w:type="dxa"/>
            <w:vAlign w:val="center"/>
          </w:tcPr>
          <w:p>
            <w:pPr>
              <w:pStyle w:val="38"/>
              <w:spacing w:before="120" w:beforeLines="50" w:after="120" w:afterLines="50" w:line="300" w:lineRule="exact"/>
              <w:ind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评委签名</w:t>
            </w:r>
          </w:p>
        </w:tc>
        <w:tc>
          <w:tcPr>
            <w:tcW w:w="5577" w:type="dxa"/>
            <w:vAlign w:val="center"/>
          </w:tcPr>
          <w:p>
            <w:pPr>
              <w:pStyle w:val="38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pStyle w:val="38"/>
              <w:spacing w:line="321" w:lineRule="auto"/>
              <w:ind w:left="162" w:right="1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合计得分</w:t>
            </w:r>
          </w:p>
        </w:tc>
        <w:tc>
          <w:tcPr>
            <w:tcW w:w="890" w:type="dxa"/>
            <w:vAlign w:val="center"/>
          </w:tcPr>
          <w:p>
            <w:pPr>
              <w:pStyle w:val="38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</w:tbl>
    <w:p>
      <w:pPr>
        <w:spacing w:before="132"/>
        <w:ind w:left="11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注：</w:t>
      </w:r>
      <w:r>
        <w:rPr>
          <w:rFonts w:hint="eastAsia"/>
          <w:sz w:val="24"/>
          <w:szCs w:val="24"/>
        </w:rPr>
        <w:t>满分为2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分，</w:t>
      </w:r>
      <w:r>
        <w:rPr>
          <w:sz w:val="24"/>
          <w:szCs w:val="24"/>
        </w:rPr>
        <w:t xml:space="preserve">评委评分可保留小数点后两位。 </w:t>
      </w:r>
    </w:p>
    <w:p>
      <w:pPr>
        <w:spacing w:before="233"/>
        <w:ind w:right="72"/>
        <w:jc w:val="center"/>
      </w:pPr>
      <w:r>
        <w:t xml:space="preserve"> </w:t>
      </w:r>
    </w:p>
    <w:p>
      <w:pPr>
        <w:jc w:val="center"/>
        <w:sectPr>
          <w:pgSz w:w="11910" w:h="16840"/>
          <w:pgMar w:top="1134" w:right="1247" w:bottom="1134" w:left="1247" w:header="0" w:footer="1111" w:gutter="0"/>
          <w:cols w:equalWidth="0" w:num="1">
            <w:col w:w="9250"/>
          </w:cols>
        </w:sectPr>
      </w:pPr>
    </w:p>
    <w:p>
      <w:pPr>
        <w:spacing w:line="540" w:lineRule="exact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b/>
          <w:bCs/>
          <w:sz w:val="28"/>
          <w:szCs w:val="28"/>
        </w:rPr>
        <w:t>3</w:t>
      </w:r>
    </w:p>
    <w:p>
      <w:pPr>
        <w:pStyle w:val="2"/>
        <w:jc w:val="center"/>
        <w:rPr>
          <w:b/>
          <w:bCs/>
          <w:lang w:val="en-US"/>
        </w:rPr>
      </w:pPr>
      <w:r>
        <w:rPr>
          <w:rFonts w:hint="eastAsia"/>
          <w:b/>
          <w:bCs/>
        </w:rPr>
        <w:t>青年教师讲课比赛“课堂教学”评分细则</w:t>
      </w:r>
    </w:p>
    <w:p>
      <w:pPr>
        <w:pStyle w:val="2"/>
        <w:jc w:val="center"/>
        <w:rPr>
          <w:b/>
          <w:bCs/>
          <w:lang w:val="en-US"/>
        </w:rPr>
      </w:pPr>
    </w:p>
    <w:p>
      <w:pPr>
        <w:tabs>
          <w:tab w:val="left" w:pos="3525"/>
        </w:tabs>
        <w:spacing w:before="62"/>
        <w:ind w:left="250"/>
        <w:jc w:val="left"/>
        <w:rPr>
          <w:sz w:val="28"/>
        </w:rPr>
      </w:pPr>
      <w:r>
        <w:rPr>
          <w:rFonts w:hint="eastAsia"/>
          <w:spacing w:val="-1"/>
          <w:sz w:val="28"/>
        </w:rPr>
        <w:t>参赛者姓名</w:t>
      </w:r>
      <w:r>
        <w:rPr>
          <w:sz w:val="28"/>
        </w:rPr>
        <w:t>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>
      <w:pPr>
        <w:pStyle w:val="2"/>
        <w:spacing w:before="4"/>
        <w:rPr>
          <w:sz w:val="10"/>
        </w:rPr>
      </w:pPr>
    </w:p>
    <w:tbl>
      <w:tblPr>
        <w:tblStyle w:val="7"/>
        <w:tblW w:w="8840" w:type="dxa"/>
        <w:tblInd w:w="11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828"/>
        <w:gridCol w:w="5463"/>
        <w:gridCol w:w="850"/>
        <w:gridCol w:w="8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ind w:left="182"/>
              <w:jc w:val="center"/>
              <w:rPr>
                <w:sz w:val="24"/>
              </w:rPr>
            </w:pPr>
            <w:r>
              <w:rPr>
                <w:sz w:val="24"/>
              </w:rPr>
              <w:t>项目</w:t>
            </w:r>
          </w:p>
        </w:tc>
        <w:tc>
          <w:tcPr>
            <w:tcW w:w="629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ind w:left="2644" w:right="2636"/>
              <w:jc w:val="center"/>
              <w:rPr>
                <w:sz w:val="24"/>
              </w:rPr>
            </w:pPr>
            <w:r>
              <w:rPr>
                <w:sz w:val="24"/>
              </w:rPr>
              <w:t>评测要求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ind w:left="165" w:right="155"/>
              <w:jc w:val="center"/>
              <w:rPr>
                <w:sz w:val="24"/>
              </w:rPr>
            </w:pPr>
            <w:r>
              <w:rPr>
                <w:sz w:val="24"/>
              </w:rPr>
              <w:t>分值</w:t>
            </w:r>
          </w:p>
        </w:tc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ind w:left="185"/>
              <w:jc w:val="center"/>
              <w:rPr>
                <w:sz w:val="24"/>
              </w:rPr>
            </w:pPr>
            <w:r>
              <w:rPr>
                <w:sz w:val="24"/>
              </w:rPr>
              <w:t>得分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spacing w:line="235" w:lineRule="auto"/>
              <w:ind w:left="153" w:right="141" w:firstLine="28"/>
              <w:jc w:val="center"/>
              <w:rPr>
                <w:sz w:val="24"/>
              </w:rPr>
            </w:pPr>
            <w:r>
              <w:rPr>
                <w:sz w:val="24"/>
              </w:rPr>
              <w:t>课堂教学75</w:t>
            </w:r>
            <w:r>
              <w:rPr>
                <w:spacing w:val="-39"/>
                <w:sz w:val="24"/>
              </w:rPr>
              <w:t xml:space="preserve"> 分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spacing w:before="194" w:line="235" w:lineRule="auto"/>
              <w:ind w:left="143" w:right="132" w:firstLine="28"/>
              <w:jc w:val="center"/>
              <w:rPr>
                <w:sz w:val="24"/>
              </w:rPr>
            </w:pPr>
            <w:r>
              <w:rPr>
                <w:sz w:val="24"/>
              </w:rPr>
              <w:t>教学内容30</w:t>
            </w:r>
            <w:r>
              <w:rPr>
                <w:spacing w:val="-39"/>
                <w:sz w:val="24"/>
              </w:rPr>
              <w:t xml:space="preserve"> 分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spacing w:before="48" w:beforeLines="20" w:after="48" w:afterLines="20"/>
              <w:ind w:left="63" w:leftChars="30" w:right="63" w:rightChars="3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贯彻立德树人的具体要求，突出课堂德育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spacing w:before="57"/>
              <w:ind w:left="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spacing w:before="174"/>
              <w:ind w:left="108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spacing w:line="235" w:lineRule="auto"/>
              <w:ind w:left="153" w:right="141" w:firstLine="28"/>
              <w:jc w:val="center"/>
              <w:rPr>
                <w:sz w:val="24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spacing w:before="194" w:line="235" w:lineRule="auto"/>
              <w:ind w:left="143" w:right="132" w:firstLine="28"/>
              <w:jc w:val="center"/>
              <w:rPr>
                <w:sz w:val="24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spacing w:before="48" w:beforeLines="20" w:after="48" w:afterLines="20"/>
              <w:ind w:left="63" w:leftChars="30" w:right="63" w:rightChars="30"/>
              <w:jc w:val="left"/>
              <w:rPr>
                <w:sz w:val="24"/>
              </w:rPr>
            </w:pPr>
            <w:r>
              <w:rPr>
                <w:sz w:val="24"/>
              </w:rPr>
              <w:t>理论联系实际，符合学生的特点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spacing w:before="5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spacing w:before="174"/>
              <w:ind w:left="108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spacing w:before="48" w:beforeLines="20" w:after="48" w:afterLines="20" w:line="300" w:lineRule="exact"/>
              <w:ind w:left="63" w:leftChars="30" w:right="63" w:rightChars="30"/>
              <w:jc w:val="left"/>
              <w:rPr>
                <w:sz w:val="24"/>
              </w:rPr>
            </w:pPr>
            <w:r>
              <w:rPr>
                <w:spacing w:val="-14"/>
                <w:sz w:val="24"/>
              </w:rPr>
              <w:t>注重学术性，内容充实，信息量大，渗透专业思想和思政要点，</w:t>
            </w:r>
            <w:r>
              <w:rPr>
                <w:sz w:val="24"/>
              </w:rPr>
              <w:t>为教学目标服务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spacing w:before="14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67" w:hRule="atLeast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spacing w:before="48" w:beforeLines="20" w:after="48" w:afterLines="20"/>
              <w:ind w:left="63" w:leftChars="30" w:right="63" w:rightChars="30"/>
              <w:jc w:val="left"/>
              <w:rPr>
                <w:sz w:val="24"/>
              </w:rPr>
            </w:pPr>
            <w:r>
              <w:rPr>
                <w:sz w:val="24"/>
              </w:rPr>
              <w:t>反映或联系学科发展新思想、新概念、新成果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spacing w:before="6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spacing w:before="48" w:beforeLines="20" w:after="48" w:afterLines="20"/>
              <w:ind w:left="63" w:leftChars="30" w:right="63" w:rightChars="30"/>
              <w:jc w:val="left"/>
              <w:rPr>
                <w:sz w:val="24"/>
              </w:rPr>
            </w:pPr>
            <w:r>
              <w:rPr>
                <w:sz w:val="24"/>
              </w:rPr>
              <w:t>重点突出，条理清楚，内容承前启后，循序渐进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spacing w:before="62"/>
              <w:ind w:left="165" w:right="15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spacing w:line="235" w:lineRule="auto"/>
              <w:ind w:left="143" w:right="132" w:firstLine="28"/>
              <w:jc w:val="center"/>
              <w:rPr>
                <w:sz w:val="24"/>
              </w:rPr>
            </w:pPr>
            <w:r>
              <w:rPr>
                <w:sz w:val="24"/>
              </w:rPr>
              <w:t>教学</w:t>
            </w:r>
            <w:r>
              <w:rPr>
                <w:rFonts w:hint="eastAsia"/>
                <w:sz w:val="24"/>
              </w:rPr>
              <w:t>实施</w:t>
            </w:r>
            <w:r>
              <w:rPr>
                <w:sz w:val="24"/>
              </w:rPr>
              <w:t>30</w:t>
            </w:r>
            <w:r>
              <w:rPr>
                <w:spacing w:val="-39"/>
                <w:sz w:val="24"/>
              </w:rPr>
              <w:t xml:space="preserve"> 分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spacing w:before="48" w:beforeLines="20" w:after="48" w:afterLines="20" w:line="235" w:lineRule="auto"/>
              <w:ind w:left="63" w:leftChars="30" w:right="63" w:rightChars="30"/>
              <w:jc w:val="left"/>
              <w:rPr>
                <w:sz w:val="24"/>
              </w:rPr>
            </w:pPr>
            <w:r>
              <w:rPr>
                <w:sz w:val="24"/>
              </w:rPr>
              <w:t>教学过程安排合理，方法运用灵活、恰当，教学设计方案体现完整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spacing w:before="191"/>
              <w:ind w:left="165" w:right="15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spacing w:line="304" w:lineRule="exact"/>
              <w:ind w:left="108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spacing w:before="48" w:beforeLines="20" w:after="48" w:afterLines="20"/>
              <w:ind w:left="63" w:leftChars="30" w:right="63" w:rightChars="30"/>
              <w:jc w:val="left"/>
              <w:rPr>
                <w:sz w:val="24"/>
              </w:rPr>
            </w:pPr>
            <w:r>
              <w:rPr>
                <w:sz w:val="24"/>
              </w:rPr>
              <w:t>启发性强，能有效调动学生思维和学习积极性；思政要点融入合理、启智润心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spacing w:before="55"/>
              <w:ind w:left="165" w:right="15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spacing w:before="48" w:beforeLines="20" w:after="48" w:afterLines="20"/>
              <w:ind w:left="63" w:leftChars="30" w:right="63" w:rightChars="30"/>
              <w:jc w:val="left"/>
              <w:rPr>
                <w:sz w:val="24"/>
              </w:rPr>
            </w:pPr>
            <w:r>
              <w:rPr>
                <w:sz w:val="24"/>
              </w:rPr>
              <w:t>教学时间安排合理，课堂应变能力强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spacing w:before="5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spacing w:before="48" w:beforeLines="20" w:after="48" w:afterLines="20"/>
              <w:ind w:left="63" w:leftChars="30" w:right="63" w:rightChars="30"/>
              <w:jc w:val="left"/>
              <w:rPr>
                <w:sz w:val="24"/>
              </w:rPr>
            </w:pPr>
            <w:r>
              <w:rPr>
                <w:sz w:val="24"/>
              </w:rPr>
              <w:t>熟练、有效地运用多媒体等现代教学手段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spacing w:before="5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48" w:beforeLines="20" w:after="48" w:afterLines="20"/>
              <w:ind w:left="63" w:leftChars="30" w:right="63" w:rightChars="30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板书设计结构合理，板书与多媒体相配合，简洁、工整、美观、大小适当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spacing w:before="18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spacing w:before="1" w:line="235" w:lineRule="auto"/>
              <w:ind w:left="143" w:right="132" w:firstLine="28"/>
              <w:jc w:val="center"/>
              <w:rPr>
                <w:sz w:val="24"/>
              </w:rPr>
            </w:pPr>
            <w:r>
              <w:rPr>
                <w:sz w:val="24"/>
              </w:rPr>
              <w:t>语言教态10</w:t>
            </w:r>
            <w:r>
              <w:rPr>
                <w:spacing w:val="-39"/>
                <w:sz w:val="24"/>
              </w:rPr>
              <w:t xml:space="preserve"> 分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spacing w:before="48" w:beforeLines="20" w:after="48" w:afterLines="20" w:line="235" w:lineRule="auto"/>
              <w:ind w:left="63" w:leftChars="30" w:right="63" w:rightChars="30"/>
              <w:jc w:val="left"/>
              <w:rPr>
                <w:sz w:val="24"/>
              </w:rPr>
            </w:pPr>
            <w:r>
              <w:rPr>
                <w:sz w:val="24"/>
              </w:rPr>
              <w:t>普通话讲课，语言清晰、流畅、准确、生动，语速节奏恰当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spacing w:before="18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spacing w:before="48" w:beforeLines="20" w:after="48" w:afterLines="20"/>
              <w:ind w:left="63" w:leftChars="30" w:right="63" w:rightChars="30"/>
              <w:jc w:val="left"/>
              <w:rPr>
                <w:sz w:val="24"/>
              </w:rPr>
            </w:pPr>
            <w:r>
              <w:rPr>
                <w:sz w:val="24"/>
              </w:rPr>
              <w:t>肢体语言运用合理、恰当，教态自然大方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spacing w:before="6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spacing w:before="48" w:beforeLines="20" w:after="48" w:afterLines="20"/>
              <w:ind w:left="63" w:leftChars="30" w:right="63" w:rightChars="30"/>
              <w:jc w:val="left"/>
              <w:rPr>
                <w:sz w:val="24"/>
              </w:rPr>
            </w:pPr>
            <w:r>
              <w:rPr>
                <w:sz w:val="24"/>
              </w:rPr>
              <w:t>教态仪表自然得体，精神饱满，亲和力强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spacing w:before="6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83" w:hRule="atLeast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spacing w:before="146" w:line="235" w:lineRule="auto"/>
              <w:ind w:left="172" w:right="163"/>
              <w:jc w:val="center"/>
              <w:rPr>
                <w:sz w:val="24"/>
              </w:rPr>
            </w:pPr>
            <w:r>
              <w:rPr>
                <w:sz w:val="24"/>
              </w:rPr>
              <w:t>教学特色5 分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ind w:left="63" w:leftChars="30" w:right="63" w:rightChars="30"/>
              <w:jc w:val="left"/>
              <w:rPr>
                <w:sz w:val="24"/>
              </w:rPr>
            </w:pPr>
            <w:r>
              <w:rPr>
                <w:sz w:val="24"/>
              </w:rPr>
              <w:t>教学理念先进、风格突出、感染力强、教学效果好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ind w:left="357"/>
              <w:rPr>
                <w:sz w:val="24"/>
              </w:rPr>
            </w:pPr>
            <w:r>
              <w:rPr>
                <w:sz w:val="24"/>
              </w:rPr>
              <w:t>评委签名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spacing w:before="50" w:line="235" w:lineRule="auto"/>
              <w:ind w:left="185" w:right="172"/>
              <w:jc w:val="center"/>
              <w:rPr>
                <w:sz w:val="24"/>
              </w:rPr>
            </w:pPr>
            <w:r>
              <w:rPr>
                <w:sz w:val="24"/>
              </w:rPr>
              <w:t>合计得分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8"/>
              <w:jc w:val="center"/>
              <w:rPr>
                <w:rFonts w:ascii="Times New Roman"/>
                <w:sz w:val="24"/>
              </w:rPr>
            </w:pPr>
          </w:p>
        </w:tc>
      </w:tr>
    </w:tbl>
    <w:p>
      <w:pPr>
        <w:spacing w:before="133"/>
        <w:ind w:left="231"/>
        <w:jc w:val="left"/>
        <w:rPr>
          <w:sz w:val="28"/>
        </w:rPr>
        <w:sectPr>
          <w:pgSz w:w="11910" w:h="16840"/>
          <w:pgMar w:top="1580" w:right="1240" w:bottom="1300" w:left="1420" w:header="0" w:footer="1112" w:gutter="0"/>
          <w:cols w:equalWidth="0" w:num="1">
            <w:col w:w="9250"/>
          </w:cols>
        </w:sectPr>
      </w:pPr>
      <w:r>
        <w:rPr>
          <w:sz w:val="24"/>
        </w:rPr>
        <w:t>注：</w:t>
      </w:r>
      <w:r>
        <w:rPr>
          <w:rFonts w:hint="eastAsia"/>
          <w:sz w:val="24"/>
        </w:rPr>
        <w:t>满分为7</w:t>
      </w:r>
      <w:r>
        <w:rPr>
          <w:sz w:val="24"/>
        </w:rPr>
        <w:t>5</w:t>
      </w:r>
      <w:r>
        <w:rPr>
          <w:rFonts w:hint="eastAsia"/>
          <w:sz w:val="24"/>
        </w:rPr>
        <w:t>分，</w:t>
      </w:r>
      <w:r>
        <w:rPr>
          <w:sz w:val="24"/>
        </w:rPr>
        <w:t>评委评分可保留小数点后两位</w:t>
      </w:r>
      <w:r>
        <w:rPr>
          <w:sz w:val="28"/>
        </w:rPr>
        <w:t xml:space="preserve">。 </w:t>
      </w:r>
    </w:p>
    <w:p>
      <w:pPr>
        <w:spacing w:line="540" w:lineRule="exact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b/>
          <w:bCs/>
          <w:sz w:val="28"/>
          <w:szCs w:val="28"/>
        </w:rPr>
        <w:t>4</w:t>
      </w:r>
    </w:p>
    <w:p>
      <w:pPr>
        <w:pStyle w:val="2"/>
        <w:jc w:val="left"/>
        <w:rPr>
          <w:b/>
          <w:bCs/>
        </w:rPr>
      </w:pPr>
    </w:p>
    <w:p>
      <w:pPr>
        <w:pStyle w:val="2"/>
        <w:jc w:val="center"/>
        <w:rPr>
          <w:b/>
          <w:bCs/>
          <w:lang w:val="en-US"/>
        </w:rPr>
      </w:pPr>
      <w:r>
        <w:rPr>
          <w:rFonts w:hint="eastAsia"/>
          <w:b/>
          <w:bCs/>
        </w:rPr>
        <w:t>青年教师讲课比赛“教学设计思路介绍”评分细则</w:t>
      </w:r>
    </w:p>
    <w:p>
      <w:pPr>
        <w:pStyle w:val="2"/>
        <w:rPr>
          <w:lang w:val="en-US"/>
        </w:rPr>
      </w:pPr>
    </w:p>
    <w:p>
      <w:pPr>
        <w:tabs>
          <w:tab w:val="left" w:pos="3525"/>
        </w:tabs>
        <w:spacing w:before="62" w:after="120" w:afterLines="50"/>
        <w:ind w:left="249"/>
        <w:jc w:val="left"/>
        <w:rPr>
          <w:sz w:val="28"/>
        </w:rPr>
      </w:pPr>
      <w:r>
        <w:rPr>
          <w:rFonts w:hint="eastAsia"/>
          <w:spacing w:val="-1"/>
          <w:sz w:val="28"/>
        </w:rPr>
        <w:t>参赛者姓名</w:t>
      </w:r>
      <w:r>
        <w:rPr>
          <w:sz w:val="28"/>
        </w:rPr>
        <w:t>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5850"/>
        <w:gridCol w:w="905"/>
        <w:gridCol w:w="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Align w:val="center"/>
          </w:tcPr>
          <w:p>
            <w:pPr>
              <w:pStyle w:val="2"/>
              <w:spacing w:before="120" w:beforeLines="50" w:after="120" w:afterLines="5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项目</w:t>
            </w:r>
          </w:p>
        </w:tc>
        <w:tc>
          <w:tcPr>
            <w:tcW w:w="5850" w:type="dxa"/>
            <w:vAlign w:val="center"/>
          </w:tcPr>
          <w:p>
            <w:pPr>
              <w:pStyle w:val="2"/>
              <w:spacing w:before="120" w:beforeLines="50" w:after="120" w:afterLines="5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评测要求</w:t>
            </w:r>
          </w:p>
        </w:tc>
        <w:tc>
          <w:tcPr>
            <w:tcW w:w="905" w:type="dxa"/>
          </w:tcPr>
          <w:p>
            <w:pPr>
              <w:pStyle w:val="2"/>
              <w:spacing w:before="120" w:beforeLines="50" w:after="120" w:afterLines="5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分值</w:t>
            </w:r>
          </w:p>
        </w:tc>
        <w:tc>
          <w:tcPr>
            <w:tcW w:w="932" w:type="dxa"/>
            <w:vAlign w:val="center"/>
          </w:tcPr>
          <w:p>
            <w:pPr>
              <w:pStyle w:val="2"/>
              <w:spacing w:before="120" w:beforeLines="50" w:after="120" w:afterLines="5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Align w:val="center"/>
          </w:tcPr>
          <w:p>
            <w:pPr>
              <w:pStyle w:val="2"/>
              <w:spacing w:before="120" w:beforeLines="50" w:after="120" w:afterLines="5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教学目标</w:t>
            </w:r>
          </w:p>
        </w:tc>
        <w:tc>
          <w:tcPr>
            <w:tcW w:w="5850" w:type="dxa"/>
            <w:vAlign w:val="center"/>
          </w:tcPr>
          <w:p>
            <w:pPr>
              <w:pStyle w:val="2"/>
              <w:spacing w:before="120" w:beforeLines="50" w:after="120" w:afterLines="50" w:line="300" w:lineRule="exac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说明确立目标的依据与思路</w:t>
            </w:r>
          </w:p>
        </w:tc>
        <w:tc>
          <w:tcPr>
            <w:tcW w:w="905" w:type="dxa"/>
            <w:vAlign w:val="center"/>
          </w:tcPr>
          <w:p>
            <w:pPr>
              <w:pStyle w:val="2"/>
              <w:spacing w:before="120" w:beforeLines="50" w:after="120" w:afterLines="5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</w:t>
            </w:r>
          </w:p>
        </w:tc>
        <w:tc>
          <w:tcPr>
            <w:tcW w:w="932" w:type="dxa"/>
            <w:vAlign w:val="center"/>
          </w:tcPr>
          <w:p>
            <w:pPr>
              <w:pStyle w:val="2"/>
              <w:spacing w:before="120" w:beforeLines="50" w:after="120" w:afterLines="50" w:line="300" w:lineRule="exact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Align w:val="center"/>
          </w:tcPr>
          <w:p>
            <w:pPr>
              <w:pStyle w:val="2"/>
              <w:spacing w:before="120" w:beforeLines="50" w:after="120" w:afterLines="5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教学内容</w:t>
            </w:r>
          </w:p>
        </w:tc>
        <w:tc>
          <w:tcPr>
            <w:tcW w:w="5850" w:type="dxa"/>
            <w:vAlign w:val="center"/>
          </w:tcPr>
          <w:p>
            <w:pPr>
              <w:pStyle w:val="2"/>
              <w:spacing w:before="120" w:beforeLines="50" w:after="120" w:afterLines="50" w:line="300" w:lineRule="exac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说明选择与组织内容的依据与思路；说明确定重点与难点的依据与思路</w:t>
            </w:r>
          </w:p>
        </w:tc>
        <w:tc>
          <w:tcPr>
            <w:tcW w:w="905" w:type="dxa"/>
            <w:vAlign w:val="center"/>
          </w:tcPr>
          <w:p>
            <w:pPr>
              <w:pStyle w:val="2"/>
              <w:spacing w:before="120" w:beforeLines="50" w:after="120" w:afterLines="5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</w:t>
            </w:r>
          </w:p>
        </w:tc>
        <w:tc>
          <w:tcPr>
            <w:tcW w:w="932" w:type="dxa"/>
            <w:vAlign w:val="center"/>
          </w:tcPr>
          <w:p>
            <w:pPr>
              <w:pStyle w:val="2"/>
              <w:spacing w:before="120" w:beforeLines="50" w:after="120" w:afterLines="50" w:line="300" w:lineRule="exact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Align w:val="center"/>
          </w:tcPr>
          <w:p>
            <w:pPr>
              <w:pStyle w:val="2"/>
              <w:spacing w:before="120" w:beforeLines="50" w:after="120" w:afterLines="5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教学方法</w:t>
            </w:r>
          </w:p>
        </w:tc>
        <w:tc>
          <w:tcPr>
            <w:tcW w:w="5850" w:type="dxa"/>
            <w:vAlign w:val="center"/>
          </w:tcPr>
          <w:p>
            <w:pPr>
              <w:pStyle w:val="2"/>
              <w:spacing w:before="120" w:beforeLines="50" w:after="120" w:afterLines="50" w:line="300" w:lineRule="exac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说明选择教学方法与策略的依据与思路</w:t>
            </w:r>
          </w:p>
        </w:tc>
        <w:tc>
          <w:tcPr>
            <w:tcW w:w="905" w:type="dxa"/>
            <w:vAlign w:val="center"/>
          </w:tcPr>
          <w:p>
            <w:pPr>
              <w:pStyle w:val="2"/>
              <w:spacing w:before="120" w:beforeLines="50" w:after="120" w:afterLines="5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</w:t>
            </w:r>
          </w:p>
        </w:tc>
        <w:tc>
          <w:tcPr>
            <w:tcW w:w="932" w:type="dxa"/>
            <w:vAlign w:val="center"/>
          </w:tcPr>
          <w:p>
            <w:pPr>
              <w:pStyle w:val="2"/>
              <w:spacing w:before="120" w:beforeLines="50" w:after="120" w:afterLines="50" w:line="300" w:lineRule="exact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Align w:val="center"/>
          </w:tcPr>
          <w:p>
            <w:pPr>
              <w:pStyle w:val="2"/>
              <w:spacing w:before="120" w:beforeLines="50" w:after="120" w:afterLines="5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教学考核</w:t>
            </w:r>
          </w:p>
        </w:tc>
        <w:tc>
          <w:tcPr>
            <w:tcW w:w="5850" w:type="dxa"/>
            <w:vAlign w:val="center"/>
          </w:tcPr>
          <w:p>
            <w:pPr>
              <w:pStyle w:val="2"/>
              <w:spacing w:before="120" w:beforeLines="50" w:after="120" w:afterLines="50" w:line="300" w:lineRule="exac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说明考核方式与内容的依据与思路</w:t>
            </w:r>
          </w:p>
        </w:tc>
        <w:tc>
          <w:tcPr>
            <w:tcW w:w="905" w:type="dxa"/>
            <w:vAlign w:val="center"/>
          </w:tcPr>
          <w:p>
            <w:pPr>
              <w:pStyle w:val="2"/>
              <w:spacing w:before="120" w:beforeLines="50" w:after="120" w:afterLines="5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</w:t>
            </w:r>
          </w:p>
        </w:tc>
        <w:tc>
          <w:tcPr>
            <w:tcW w:w="932" w:type="dxa"/>
            <w:vAlign w:val="center"/>
          </w:tcPr>
          <w:p>
            <w:pPr>
              <w:pStyle w:val="2"/>
              <w:spacing w:before="120" w:beforeLines="50" w:after="120" w:afterLines="50" w:line="300" w:lineRule="exact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Align w:val="center"/>
          </w:tcPr>
          <w:p>
            <w:pPr>
              <w:pStyle w:val="2"/>
              <w:spacing w:before="120" w:beforeLines="50" w:after="120" w:afterLines="5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信息技术应用</w:t>
            </w:r>
          </w:p>
        </w:tc>
        <w:tc>
          <w:tcPr>
            <w:tcW w:w="5850" w:type="dxa"/>
            <w:vAlign w:val="center"/>
          </w:tcPr>
          <w:p>
            <w:pPr>
              <w:pStyle w:val="2"/>
              <w:spacing w:before="120" w:beforeLines="50" w:after="120" w:afterLines="50" w:line="300" w:lineRule="exac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说明信息技术应用的主要做法</w:t>
            </w:r>
          </w:p>
        </w:tc>
        <w:tc>
          <w:tcPr>
            <w:tcW w:w="905" w:type="dxa"/>
            <w:vAlign w:val="center"/>
          </w:tcPr>
          <w:p>
            <w:pPr>
              <w:pStyle w:val="2"/>
              <w:spacing w:before="120" w:beforeLines="50" w:after="120" w:afterLines="5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</w:t>
            </w:r>
          </w:p>
        </w:tc>
        <w:tc>
          <w:tcPr>
            <w:tcW w:w="932" w:type="dxa"/>
            <w:vAlign w:val="center"/>
          </w:tcPr>
          <w:p>
            <w:pPr>
              <w:pStyle w:val="2"/>
              <w:spacing w:before="120" w:beforeLines="50" w:after="120" w:afterLines="50" w:line="300" w:lineRule="exact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779" w:type="dxa"/>
            <w:vAlign w:val="center"/>
          </w:tcPr>
          <w:p>
            <w:pPr>
              <w:pStyle w:val="2"/>
              <w:spacing w:before="120" w:beforeLines="50" w:after="120" w:afterLines="5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评委签名</w:t>
            </w:r>
          </w:p>
        </w:tc>
        <w:tc>
          <w:tcPr>
            <w:tcW w:w="5850" w:type="dxa"/>
            <w:vAlign w:val="center"/>
          </w:tcPr>
          <w:p>
            <w:pPr>
              <w:pStyle w:val="2"/>
              <w:spacing w:before="120" w:beforeLines="50" w:after="120" w:afterLines="50" w:line="30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2"/>
              <w:spacing w:before="120" w:beforeLines="50" w:after="120" w:afterLines="5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合计得分</w:t>
            </w:r>
          </w:p>
        </w:tc>
        <w:tc>
          <w:tcPr>
            <w:tcW w:w="932" w:type="dxa"/>
            <w:vAlign w:val="center"/>
          </w:tcPr>
          <w:p>
            <w:pPr>
              <w:pStyle w:val="2"/>
              <w:spacing w:before="120" w:beforeLines="50" w:after="120" w:afterLines="50" w:line="300" w:lineRule="exact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>
      <w:pPr>
        <w:pStyle w:val="2"/>
        <w:spacing w:before="120" w:beforeLines="50" w:line="360" w:lineRule="auto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注：满分为5分，评委评分可保留小数点后两位。</w:t>
      </w:r>
    </w:p>
    <w:sectPr>
      <w:pgSz w:w="11910" w:h="16840"/>
      <w:pgMar w:top="1134" w:right="1247" w:bottom="1134" w:left="1304" w:header="0" w:footer="1111" w:gutter="0"/>
      <w:cols w:equalWidth="0" w:num="1">
        <w:col w:w="925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2352522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CC2606"/>
    <w:multiLevelType w:val="singleLevel"/>
    <w:tmpl w:val="B3CC2606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598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06866"/>
    <w:rsid w:val="00012092"/>
    <w:rsid w:val="000242FB"/>
    <w:rsid w:val="00055A3B"/>
    <w:rsid w:val="000D431B"/>
    <w:rsid w:val="000E1BDA"/>
    <w:rsid w:val="000E6A72"/>
    <w:rsid w:val="00113378"/>
    <w:rsid w:val="00156552"/>
    <w:rsid w:val="00183A0C"/>
    <w:rsid w:val="001A5F72"/>
    <w:rsid w:val="001E6CBC"/>
    <w:rsid w:val="001F4438"/>
    <w:rsid w:val="00207E4E"/>
    <w:rsid w:val="0022003D"/>
    <w:rsid w:val="00221EBD"/>
    <w:rsid w:val="002338B3"/>
    <w:rsid w:val="0028337A"/>
    <w:rsid w:val="002B29E2"/>
    <w:rsid w:val="002C2FEF"/>
    <w:rsid w:val="002D1F27"/>
    <w:rsid w:val="002D6C67"/>
    <w:rsid w:val="003140BE"/>
    <w:rsid w:val="003456B1"/>
    <w:rsid w:val="00362565"/>
    <w:rsid w:val="00370DED"/>
    <w:rsid w:val="003B179E"/>
    <w:rsid w:val="003E05B5"/>
    <w:rsid w:val="003E074E"/>
    <w:rsid w:val="003E3B1C"/>
    <w:rsid w:val="003E71FD"/>
    <w:rsid w:val="004002DF"/>
    <w:rsid w:val="00416184"/>
    <w:rsid w:val="0046699E"/>
    <w:rsid w:val="004754D3"/>
    <w:rsid w:val="00484E2A"/>
    <w:rsid w:val="004856C6"/>
    <w:rsid w:val="00490AEB"/>
    <w:rsid w:val="004A6C25"/>
    <w:rsid w:val="004B2EB9"/>
    <w:rsid w:val="004B406A"/>
    <w:rsid w:val="0053463E"/>
    <w:rsid w:val="005460AA"/>
    <w:rsid w:val="005B777C"/>
    <w:rsid w:val="0062047E"/>
    <w:rsid w:val="006C5214"/>
    <w:rsid w:val="006C73A1"/>
    <w:rsid w:val="0070024F"/>
    <w:rsid w:val="00725011"/>
    <w:rsid w:val="00735DA5"/>
    <w:rsid w:val="007A11E2"/>
    <w:rsid w:val="007B05F4"/>
    <w:rsid w:val="007B5731"/>
    <w:rsid w:val="007E0418"/>
    <w:rsid w:val="00803717"/>
    <w:rsid w:val="00825B3F"/>
    <w:rsid w:val="00854DF9"/>
    <w:rsid w:val="00870A61"/>
    <w:rsid w:val="008956CB"/>
    <w:rsid w:val="008A1163"/>
    <w:rsid w:val="00920B5A"/>
    <w:rsid w:val="00934D2E"/>
    <w:rsid w:val="00952F55"/>
    <w:rsid w:val="009576C6"/>
    <w:rsid w:val="009D50EC"/>
    <w:rsid w:val="009E2ED6"/>
    <w:rsid w:val="009F191D"/>
    <w:rsid w:val="00A1452D"/>
    <w:rsid w:val="00A20A67"/>
    <w:rsid w:val="00A37998"/>
    <w:rsid w:val="00A70A6E"/>
    <w:rsid w:val="00A740E9"/>
    <w:rsid w:val="00A953A0"/>
    <w:rsid w:val="00AA1EBC"/>
    <w:rsid w:val="00AB47D8"/>
    <w:rsid w:val="00B22D6E"/>
    <w:rsid w:val="00B46B0C"/>
    <w:rsid w:val="00B6591F"/>
    <w:rsid w:val="00B660B3"/>
    <w:rsid w:val="00B97096"/>
    <w:rsid w:val="00BB7F09"/>
    <w:rsid w:val="00BE22F6"/>
    <w:rsid w:val="00BF412C"/>
    <w:rsid w:val="00C2423E"/>
    <w:rsid w:val="00C64E86"/>
    <w:rsid w:val="00C77172"/>
    <w:rsid w:val="00C819A5"/>
    <w:rsid w:val="00C95C67"/>
    <w:rsid w:val="00CA331C"/>
    <w:rsid w:val="00D201E9"/>
    <w:rsid w:val="00D869F1"/>
    <w:rsid w:val="00D9062D"/>
    <w:rsid w:val="00E006DE"/>
    <w:rsid w:val="00E04199"/>
    <w:rsid w:val="00E9603C"/>
    <w:rsid w:val="00ED4669"/>
    <w:rsid w:val="00EE6311"/>
    <w:rsid w:val="00F0480C"/>
    <w:rsid w:val="00F648B7"/>
    <w:rsid w:val="00F85F00"/>
    <w:rsid w:val="00F90CD4"/>
    <w:rsid w:val="00FB428C"/>
    <w:rsid w:val="00FC0508"/>
    <w:rsid w:val="00FE6BD8"/>
    <w:rsid w:val="02403C73"/>
    <w:rsid w:val="0BD22ACB"/>
    <w:rsid w:val="10870F12"/>
    <w:rsid w:val="177B7F89"/>
    <w:rsid w:val="1EA32F4E"/>
    <w:rsid w:val="21CE5690"/>
    <w:rsid w:val="24866FA7"/>
    <w:rsid w:val="2AEF6B18"/>
    <w:rsid w:val="2BF350DC"/>
    <w:rsid w:val="2C1059FD"/>
    <w:rsid w:val="2F796F74"/>
    <w:rsid w:val="332A7743"/>
    <w:rsid w:val="358A427C"/>
    <w:rsid w:val="38B15AEF"/>
    <w:rsid w:val="3A542C3C"/>
    <w:rsid w:val="3DA156BD"/>
    <w:rsid w:val="3F3D5C15"/>
    <w:rsid w:val="3F7B076E"/>
    <w:rsid w:val="46CD7BEA"/>
    <w:rsid w:val="49D22821"/>
    <w:rsid w:val="4BD36BBF"/>
    <w:rsid w:val="537B536B"/>
    <w:rsid w:val="5DAB79C2"/>
    <w:rsid w:val="5DD448C7"/>
    <w:rsid w:val="617C371E"/>
    <w:rsid w:val="629A5008"/>
    <w:rsid w:val="65654B0E"/>
    <w:rsid w:val="6A2848FA"/>
    <w:rsid w:val="6C2069B0"/>
    <w:rsid w:val="6E106866"/>
    <w:rsid w:val="6FB34CC0"/>
    <w:rsid w:val="70011F1B"/>
    <w:rsid w:val="725448B8"/>
    <w:rsid w:val="738C06D2"/>
    <w:rsid w:val="78AD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3">
    <w:name w:val="Date"/>
    <w:basedOn w:val="1"/>
    <w:next w:val="1"/>
    <w:link w:val="42"/>
    <w:qFormat/>
    <w:uiPriority w:val="0"/>
    <w:pPr>
      <w:ind w:left="100" w:leftChars="2500"/>
    </w:pPr>
  </w:style>
  <w:style w:type="paragraph" w:styleId="4">
    <w:name w:val="footer"/>
    <w:basedOn w:val="1"/>
    <w:link w:val="4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3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333333"/>
      <w:u w:val="none"/>
    </w:rPr>
  </w:style>
  <w:style w:type="character" w:styleId="12">
    <w:name w:val="Emphasis"/>
    <w:basedOn w:val="9"/>
    <w:qFormat/>
    <w:uiPriority w:val="0"/>
    <w:rPr>
      <w:b/>
    </w:rPr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333333"/>
      <w:u w:val="none"/>
    </w:rPr>
  </w:style>
  <w:style w:type="character" w:styleId="16">
    <w:name w:val="HTML Code"/>
    <w:basedOn w:val="9"/>
    <w:qFormat/>
    <w:uiPriority w:val="0"/>
    <w:rPr>
      <w:rFonts w:ascii="Courier New" w:hAnsi="Courier New"/>
      <w:sz w:val="20"/>
    </w:rPr>
  </w:style>
  <w:style w:type="character" w:styleId="17">
    <w:name w:val="HTML Cite"/>
    <w:basedOn w:val="9"/>
    <w:qFormat/>
    <w:uiPriority w:val="0"/>
  </w:style>
  <w:style w:type="character" w:styleId="18">
    <w:name w:val="HTML Keyboard"/>
    <w:basedOn w:val="9"/>
    <w:qFormat/>
    <w:uiPriority w:val="0"/>
    <w:rPr>
      <w:rFonts w:ascii="Courier New" w:hAnsi="Courier New"/>
      <w:sz w:val="20"/>
    </w:rPr>
  </w:style>
  <w:style w:type="character" w:styleId="19">
    <w:name w:val="HTML Sample"/>
    <w:basedOn w:val="9"/>
    <w:qFormat/>
    <w:uiPriority w:val="0"/>
    <w:rPr>
      <w:rFonts w:ascii="Courier New" w:hAnsi="Courier New"/>
    </w:rPr>
  </w:style>
  <w:style w:type="paragraph" w:customStyle="1" w:styleId="20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pubdate-month"/>
    <w:basedOn w:val="9"/>
    <w:qFormat/>
    <w:uiPriority w:val="0"/>
    <w:rPr>
      <w:color w:val="FFFFFF"/>
      <w:sz w:val="19"/>
      <w:szCs w:val="19"/>
      <w:shd w:val="clear" w:color="auto" w:fill="CC0000"/>
    </w:rPr>
  </w:style>
  <w:style w:type="character" w:customStyle="1" w:styleId="22">
    <w:name w:val="pubdate-day"/>
    <w:basedOn w:val="9"/>
    <w:qFormat/>
    <w:uiPriority w:val="0"/>
    <w:rPr>
      <w:shd w:val="clear" w:color="auto" w:fill="F2F2F2"/>
    </w:rPr>
  </w:style>
  <w:style w:type="character" w:customStyle="1" w:styleId="23">
    <w:name w:val="column-name"/>
    <w:basedOn w:val="9"/>
    <w:qFormat/>
    <w:uiPriority w:val="0"/>
    <w:rPr>
      <w:color w:val="1E824A"/>
    </w:rPr>
  </w:style>
  <w:style w:type="character" w:customStyle="1" w:styleId="24">
    <w:name w:val="bsharetext"/>
    <w:basedOn w:val="9"/>
    <w:qFormat/>
    <w:uiPriority w:val="0"/>
  </w:style>
  <w:style w:type="character" w:customStyle="1" w:styleId="25">
    <w:name w:val="news_meta"/>
    <w:basedOn w:val="9"/>
    <w:qFormat/>
    <w:uiPriority w:val="0"/>
    <w:rPr>
      <w:color w:val="9C9C9C"/>
    </w:rPr>
  </w:style>
  <w:style w:type="character" w:customStyle="1" w:styleId="26">
    <w:name w:val="item-name"/>
    <w:basedOn w:val="9"/>
    <w:qFormat/>
    <w:uiPriority w:val="0"/>
  </w:style>
  <w:style w:type="character" w:customStyle="1" w:styleId="27">
    <w:name w:val="item-name1"/>
    <w:basedOn w:val="9"/>
    <w:qFormat/>
    <w:uiPriority w:val="0"/>
  </w:style>
  <w:style w:type="character" w:customStyle="1" w:styleId="28">
    <w:name w:val="item-name2"/>
    <w:basedOn w:val="9"/>
    <w:qFormat/>
    <w:uiPriority w:val="0"/>
  </w:style>
  <w:style w:type="character" w:customStyle="1" w:styleId="29">
    <w:name w:val="item-name3"/>
    <w:basedOn w:val="9"/>
    <w:qFormat/>
    <w:uiPriority w:val="0"/>
  </w:style>
  <w:style w:type="character" w:customStyle="1" w:styleId="30">
    <w:name w:val="news_title8"/>
    <w:basedOn w:val="9"/>
    <w:qFormat/>
    <w:uiPriority w:val="0"/>
  </w:style>
  <w:style w:type="character" w:customStyle="1" w:styleId="31">
    <w:name w:val="news_title9"/>
    <w:basedOn w:val="9"/>
    <w:qFormat/>
    <w:uiPriority w:val="0"/>
  </w:style>
  <w:style w:type="character" w:customStyle="1" w:styleId="32">
    <w:name w:val="news_title"/>
    <w:basedOn w:val="9"/>
    <w:qFormat/>
    <w:uiPriority w:val="0"/>
  </w:style>
  <w:style w:type="character" w:customStyle="1" w:styleId="33">
    <w:name w:val="news_title1"/>
    <w:basedOn w:val="9"/>
    <w:qFormat/>
    <w:uiPriority w:val="0"/>
  </w:style>
  <w:style w:type="character" w:customStyle="1" w:styleId="34">
    <w:name w:val="news_meta1"/>
    <w:basedOn w:val="9"/>
    <w:qFormat/>
    <w:uiPriority w:val="0"/>
  </w:style>
  <w:style w:type="character" w:customStyle="1" w:styleId="35">
    <w:name w:val="column-name18"/>
    <w:basedOn w:val="9"/>
    <w:qFormat/>
    <w:uiPriority w:val="0"/>
    <w:rPr>
      <w:color w:val="1E824A"/>
    </w:rPr>
  </w:style>
  <w:style w:type="character" w:customStyle="1" w:styleId="36">
    <w:name w:val="news_title14"/>
    <w:basedOn w:val="9"/>
    <w:qFormat/>
    <w:uiPriority w:val="0"/>
  </w:style>
  <w:style w:type="character" w:customStyle="1" w:styleId="37">
    <w:name w:val="news_title15"/>
    <w:basedOn w:val="9"/>
    <w:qFormat/>
    <w:uiPriority w:val="0"/>
  </w:style>
  <w:style w:type="paragraph" w:customStyle="1" w:styleId="38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39">
    <w:name w:val="页眉 Char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40">
    <w:name w:val="页脚 Char"/>
    <w:basedOn w:val="9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41">
    <w:name w:val="List Paragraph"/>
    <w:basedOn w:val="1"/>
    <w:qFormat/>
    <w:uiPriority w:val="1"/>
    <w:pPr>
      <w:ind w:left="1074" w:hanging="322"/>
    </w:pPr>
    <w:rPr>
      <w:rFonts w:ascii="宋体" w:hAnsi="宋体" w:cs="宋体"/>
      <w:lang w:val="zh-CN" w:bidi="zh-CN"/>
    </w:rPr>
  </w:style>
  <w:style w:type="character" w:customStyle="1" w:styleId="42">
    <w:name w:val="日期 Char"/>
    <w:basedOn w:val="9"/>
    <w:link w:val="3"/>
    <w:qFormat/>
    <w:uiPriority w:val="0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511</Words>
  <Characters>2913</Characters>
  <Lines>24</Lines>
  <Paragraphs>6</Paragraphs>
  <TotalTime>525</TotalTime>
  <ScaleCrop>false</ScaleCrop>
  <LinksUpToDate>false</LinksUpToDate>
  <CharactersWithSpaces>3418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2019-09-02T00:35:00Z</dcterms:created>
  <dc:creator>063井大徐东明</dc:creator>
  <cp:lastModifiedBy>吴高翔</cp:lastModifiedBy>
  <dcterms:modified xsi:type="dcterms:W3CDTF">2021-09-14T08:31:06Z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561BDFDF432D4A718B47B9BAA18A87E3</vt:lpwstr>
  </property>
</Properties>
</file>