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kern w:val="0"/>
          <w:sz w:val="48"/>
          <w:szCs w:val="48"/>
        </w:rPr>
      </w:pPr>
      <w:bookmarkStart w:id="1" w:name="_GoBack"/>
      <w:r>
        <w:rPr>
          <w:rFonts w:hint="eastAsia"/>
          <w:b/>
          <w:kern w:val="0"/>
          <w:sz w:val="48"/>
          <w:szCs w:val="48"/>
          <w:lang w:eastAsia="zh-CN"/>
        </w:rPr>
        <w:t>井冈山大学</w:t>
      </w:r>
      <w:r>
        <w:rPr>
          <w:rFonts w:hint="eastAsia"/>
          <w:b/>
          <w:kern w:val="0"/>
          <w:sz w:val="48"/>
          <w:szCs w:val="48"/>
        </w:rPr>
        <w:t>一流</w:t>
      </w:r>
      <w:r>
        <w:rPr>
          <w:rFonts w:hint="eastAsia"/>
          <w:b/>
          <w:kern w:val="0"/>
          <w:sz w:val="48"/>
          <w:szCs w:val="48"/>
          <w:lang w:eastAsia="zh-CN"/>
        </w:rPr>
        <w:t>本科</w:t>
      </w:r>
      <w:r>
        <w:rPr>
          <w:rFonts w:hint="eastAsia"/>
          <w:b/>
          <w:kern w:val="0"/>
          <w:sz w:val="48"/>
          <w:szCs w:val="48"/>
        </w:rPr>
        <w:t>专业建设验收自评报告</w:t>
      </w:r>
    </w:p>
    <w:bookmarkEnd w:id="1"/>
    <w:p>
      <w:pPr>
        <w:rPr>
          <w:sz w:val="28"/>
          <w:szCs w:val="28"/>
        </w:rPr>
      </w:pPr>
    </w:p>
    <w:p>
      <w:pPr>
        <w:spacing w:line="560" w:lineRule="exact"/>
        <w:ind w:firstLine="562" w:firstLineChars="2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b/>
          <w:bCs/>
          <w:sz w:val="28"/>
          <w:szCs w:val="28"/>
        </w:rPr>
        <w:t>一部分：《</w:t>
      </w:r>
      <w:r>
        <w:rPr>
          <w:rFonts w:hint="eastAsia"/>
          <w:b/>
          <w:bCs/>
          <w:sz w:val="28"/>
          <w:szCs w:val="28"/>
          <w:lang w:eastAsia="zh-CN"/>
        </w:rPr>
        <w:t>井冈山大学</w:t>
      </w:r>
      <w:r>
        <w:rPr>
          <w:rFonts w:hint="eastAsia"/>
          <w:b/>
          <w:bCs/>
          <w:sz w:val="28"/>
          <w:szCs w:val="28"/>
          <w:lang w:val="en-US" w:eastAsia="zh-CN"/>
        </w:rPr>
        <w:t>XXX一流本科专业</w:t>
      </w:r>
      <w:r>
        <w:rPr>
          <w:b/>
          <w:bCs/>
          <w:sz w:val="28"/>
          <w:szCs w:val="28"/>
        </w:rPr>
        <w:t>》</w:t>
      </w:r>
      <w:r>
        <w:rPr>
          <w:rFonts w:hint="eastAsia"/>
          <w:b/>
          <w:bCs/>
          <w:sz w:val="28"/>
          <w:szCs w:val="28"/>
        </w:rPr>
        <w:t>实施</w:t>
      </w:r>
      <w:r>
        <w:rPr>
          <w:b/>
          <w:bCs/>
          <w:sz w:val="28"/>
          <w:szCs w:val="28"/>
        </w:rPr>
        <w:t>情况</w:t>
      </w:r>
      <w:r>
        <w:rPr>
          <w:rFonts w:hint="eastAsia"/>
          <w:b/>
          <w:bCs/>
          <w:sz w:val="28"/>
          <w:szCs w:val="28"/>
          <w:lang w:eastAsia="zh-CN"/>
        </w:rPr>
        <w:t>报告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、项目实施情况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项目建设目标和任务完成情况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项目资金管理使用情况</w:t>
      </w: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widowControl/>
        <w:jc w:val="left"/>
        <w:rPr>
          <w:rFonts w:hint="eastAsia" w:eastAsiaTheme="minorEastAsia"/>
          <w:b/>
          <w:bCs/>
          <w:szCs w:val="21"/>
          <w:lang w:eastAsia="zh-CN"/>
        </w:rPr>
      </w:pPr>
      <w:r>
        <w:rPr>
          <w:rFonts w:hint="eastAsia"/>
          <w:b/>
          <w:bCs/>
          <w:sz w:val="28"/>
          <w:szCs w:val="28"/>
        </w:rPr>
        <w:t>第二</w:t>
      </w:r>
      <w:r>
        <w:rPr>
          <w:b/>
          <w:bCs/>
          <w:sz w:val="28"/>
          <w:szCs w:val="28"/>
        </w:rPr>
        <w:t>部分：</w:t>
      </w:r>
      <w:r>
        <w:rPr>
          <w:rFonts w:hint="eastAsia"/>
          <w:b/>
          <w:bCs/>
          <w:sz w:val="28"/>
          <w:szCs w:val="28"/>
        </w:rPr>
        <w:t>井冈</w:t>
      </w:r>
      <w:r>
        <w:rPr>
          <w:b/>
          <w:bCs/>
          <w:sz w:val="28"/>
          <w:szCs w:val="28"/>
        </w:rPr>
        <w:t>山大学</w:t>
      </w:r>
      <w:r>
        <w:rPr>
          <w:rFonts w:hint="eastAsia"/>
          <w:b/>
          <w:bCs/>
          <w:sz w:val="28"/>
          <w:szCs w:val="28"/>
          <w:lang w:eastAsia="zh-CN"/>
        </w:rPr>
        <w:t>一流本科专业建设成效考核指标体系</w:t>
      </w:r>
    </w:p>
    <w:tbl>
      <w:tblPr>
        <w:tblStyle w:val="4"/>
        <w:tblpPr w:leftFromText="181" w:rightFromText="181" w:vertAnchor="text" w:tblpXSpec="center" w:tblpY="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0" w:type="dxa"/>
          <w:left w:w="57" w:type="dxa"/>
          <w:bottom w:w="40" w:type="dxa"/>
          <w:right w:w="57" w:type="dxa"/>
        </w:tblCellMar>
      </w:tblPr>
      <w:tblGrid>
        <w:gridCol w:w="1284"/>
        <w:gridCol w:w="1145"/>
        <w:gridCol w:w="3287"/>
        <w:gridCol w:w="3718"/>
        <w:gridCol w:w="3864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  <w:tblHeader/>
        </w:trPr>
        <w:tc>
          <w:tcPr>
            <w:tcW w:w="45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一级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指标</w:t>
            </w: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二级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指标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主要观测点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指标说明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专业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自评情况</w:t>
            </w: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得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4"/>
              </w:rPr>
              <w:t>资金管理（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预算编制的合理性（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资金使用的规范性（8分）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861" w:hRule="atLeast"/>
        </w:trPr>
        <w:tc>
          <w:tcPr>
            <w:tcW w:w="45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1.培养方案与课程大纲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（20分）</w:t>
            </w:r>
          </w:p>
        </w:tc>
        <w:tc>
          <w:tcPr>
            <w:tcW w:w="40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人才培养目标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（10分）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人才培养目标设置情况（5分）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结合学校办学定位和特色，高标准设置人才培养规格和目标，定期开展对人才培养目标的合理性评价、并及时修订。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1542" w:hRule="atLeast"/>
        </w:trPr>
        <w:tc>
          <w:tcPr>
            <w:tcW w:w="45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课程体系设置与培养方案修订情况（5分）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根据人才培养目标设定毕业要求；课程体系结构合理，能力培养的实现矩阵能体现对毕业要求的合理支撑；在此基础上开展有校外专家参与的人才培养方案修订工作；定期开展课程体系的合理性评价。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540" w:hRule="atLeast"/>
        </w:trPr>
        <w:tc>
          <w:tcPr>
            <w:tcW w:w="45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课程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（10分）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课程思政情况（5分）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将思政教育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融入专业课、通识课的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情况。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专业核心课程中建有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2门以上课程思政示范课程。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课程大纲制定情况（5分）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围绕课程目标的实现制定课程大纲，大纲符合规范。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2.师资情况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（10分）</w:t>
            </w:r>
          </w:p>
        </w:tc>
        <w:tc>
          <w:tcPr>
            <w:tcW w:w="40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教师队伍建设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（10分）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专业师资基本情况（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师资队伍结构合理，数量足、质量高。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高层次教师情况（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</w:rPr>
              <w:t>在同行业中具有一定知名度的学科专业带头人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  <w:lang w:eastAsia="zh-CN"/>
              </w:rPr>
              <w:t>情况。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3.课程建设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（1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一流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课程建设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bookmarkStart w:id="0" w:name="_Hlk503951764"/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国家级或省级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一流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课程</w:t>
            </w:r>
            <w:bookmarkEnd w:id="0"/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建设情况（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专业至少建有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1门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省级及以上一流本科课程。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教材建设与选用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（5分）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主编教材情况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（5分）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  <w:lang w:eastAsia="zh-CN"/>
              </w:rPr>
              <w:t>专业至少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</w:rPr>
              <w:t>出版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  <w:lang w:eastAsia="zh-CN"/>
              </w:rPr>
              <w:t>一门课程教材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</w:rPr>
              <w:t>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4.教学改革研究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（10分）</w:t>
            </w: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教学改革研究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（10分）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开展人才培养模式改革情况（10分）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专业获校级及以上教学成果奖二等奖，承担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2个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省级及以上教学改革研究课题。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实践教学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（10分）</w:t>
            </w: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实验平台建设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实验室建设、实验项目培育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专业实验室能满足专业实验教学需要，建有省级及以上实验教学示范中心。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实践基地建设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实习基地建设等情况（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与企业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</w:rPr>
              <w:t>签署战略合作协议或产学研合作协议并有实质性合作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</w:rPr>
              <w:t>与行业企业共建实习基地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3个以上</w:t>
            </w:r>
            <w:r>
              <w:rPr>
                <w:rFonts w:hint="eastAsia" w:ascii="仿宋" w:hAnsi="仿宋" w:eastAsia="仿宋" w:cs="Times New Roman"/>
                <w:b w:val="0"/>
                <w:bCs w:val="0"/>
                <w:sz w:val="24"/>
                <w:szCs w:val="24"/>
              </w:rPr>
              <w:t>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restar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6.教学效果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分）</w:t>
            </w: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学生科学研究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（5分）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学生发表学术论文及专利受理等情况（5分）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该专业学生为发表学术论文第一或第二作者（需在知网中能搜索到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,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且若为第二作者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,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该篇论文第一作者需为本专业教师）；该专业学生为获得专利限额内成员。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Merge w:val="continue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学科竞赛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（5分）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学生参与各类竞赛或社会实践情况（5分）</w:t>
            </w: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学生参加各类竞赛或社会实践经历等情况。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.质量保障与改进（10分）</w:t>
            </w:r>
          </w:p>
        </w:tc>
        <w:tc>
          <w:tcPr>
            <w:tcW w:w="40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质量保障体系（10分）</w:t>
            </w:r>
          </w:p>
        </w:tc>
        <w:tc>
          <w:tcPr>
            <w:tcW w:w="1167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质量保障机制和措施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(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10分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)</w:t>
            </w:r>
          </w:p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1321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left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教学质量监控与评价机制、社会评价机制健全，能有效开展各教学环节的质量监控评价，以及人才培养目标达成情况、课程目标达成情况、毕业要求达成情况等评价，持续改进效果好。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57" w:type="dxa"/>
            <w:bottom w:w="4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456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.认证（评估）情况</w:t>
            </w:r>
          </w:p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（加减分10分）</w:t>
            </w:r>
          </w:p>
        </w:tc>
        <w:tc>
          <w:tcPr>
            <w:tcW w:w="2895" w:type="pct"/>
            <w:gridSpan w:val="3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通过国际实质等效的专业认证或评估、通过教育部三级专业认证专业可加分；对申请专业认证获得受理的，酌情予以加分。对应申请而未申请专业认证（评估）的，或在认证（评估）过程中有重大失误，造成影响的，酌情予以扣分。</w:t>
            </w:r>
          </w:p>
        </w:tc>
        <w:tc>
          <w:tcPr>
            <w:tcW w:w="1372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>
            <w:pPr>
              <w:snapToGrid w:val="0"/>
              <w:spacing w:before="46" w:beforeLines="15" w:after="46" w:afterLines="15" w:line="280" w:lineRule="exact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iNTEwYjgzY2JiMDgxOTYyZTg2MGE0MWQ4MzU5MzcifQ=="/>
  </w:docVars>
  <w:rsids>
    <w:rsidRoot w:val="00ED376C"/>
    <w:rsid w:val="000F15FF"/>
    <w:rsid w:val="00277B68"/>
    <w:rsid w:val="002857C4"/>
    <w:rsid w:val="002F796F"/>
    <w:rsid w:val="0034780D"/>
    <w:rsid w:val="003774F0"/>
    <w:rsid w:val="00381B94"/>
    <w:rsid w:val="004804E8"/>
    <w:rsid w:val="004A0AD0"/>
    <w:rsid w:val="004D079D"/>
    <w:rsid w:val="004F6882"/>
    <w:rsid w:val="006573EB"/>
    <w:rsid w:val="00865563"/>
    <w:rsid w:val="008A36DE"/>
    <w:rsid w:val="008A7A0F"/>
    <w:rsid w:val="00AD33EC"/>
    <w:rsid w:val="00B150A6"/>
    <w:rsid w:val="00D50F42"/>
    <w:rsid w:val="00E17D99"/>
    <w:rsid w:val="00ED376C"/>
    <w:rsid w:val="00F4620D"/>
    <w:rsid w:val="12B629D7"/>
    <w:rsid w:val="29166A38"/>
    <w:rsid w:val="32D14858"/>
    <w:rsid w:val="6C66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1217</Words>
  <Characters>1246</Characters>
  <Lines>15</Lines>
  <Paragraphs>4</Paragraphs>
  <TotalTime>1</TotalTime>
  <ScaleCrop>false</ScaleCrop>
  <LinksUpToDate>false</LinksUpToDate>
  <CharactersWithSpaces>1246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2020-09-02T07:50:00Z</dcterms:created>
  <dc:creator>昌庆钟</dc:creator>
  <cp:lastModifiedBy>阳朝</cp:lastModifiedBy>
  <dcterms:modified xsi:type="dcterms:W3CDTF">2023-04-25T09:35:46Z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DDA4DDA799F24734A24D67BA24B24943_13</vt:lpwstr>
  </property>
</Properties>
</file>