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center"/>
        <w:rPr>
          <w:rFonts w:hint="default" w:ascii="Times New Roman" w:hAnsi="Times New Roman" w:eastAsia="方正小标宋简体" w:cs="Times New Roman"/>
          <w:sz w:val="44"/>
          <w:szCs w:val="44"/>
        </w:rPr>
      </w:pPr>
      <w:r>
        <w:rPr>
          <w:rFonts w:hint="default" w:ascii="Times New Roman" w:hAnsi="Times New Roman" w:eastAsia="方正小标宋简体" w:cs="Times New Roman"/>
          <w:sz w:val="44"/>
          <w:szCs w:val="44"/>
        </w:rPr>
        <w:t>井冈山大学疫情防控期间线上教学</w:t>
      </w:r>
    </w:p>
    <w:p>
      <w:pPr>
        <w:spacing w:line="560" w:lineRule="exact"/>
        <w:jc w:val="center"/>
        <w:rPr>
          <w:rFonts w:hint="default" w:ascii="Times New Roman" w:hAnsi="Times New Roman" w:eastAsia="方正小标宋简体" w:cs="Times New Roman"/>
          <w:sz w:val="44"/>
          <w:szCs w:val="44"/>
        </w:rPr>
      </w:pPr>
      <w:r>
        <w:rPr>
          <w:rFonts w:hint="default" w:ascii="Times New Roman" w:hAnsi="Times New Roman" w:eastAsia="方正小标宋简体" w:cs="Times New Roman"/>
          <w:sz w:val="44"/>
          <w:szCs w:val="44"/>
        </w:rPr>
        <w:t>突发事件应急预案</w:t>
      </w:r>
    </w:p>
    <w:p>
      <w:pPr>
        <w:spacing w:line="560" w:lineRule="exact"/>
        <w:ind w:firstLine="643" w:firstLineChars="200"/>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一、总则</w:t>
      </w:r>
    </w:p>
    <w:p>
      <w:pPr>
        <w:pStyle w:val="4"/>
        <w:shd w:val="clear" w:color="auto" w:fill="FFFFFF"/>
        <w:spacing w:before="0" w:beforeAutospacing="0" w:after="0" w:afterAutospacing="0" w:line="52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按照《</w:t>
      </w:r>
      <w:r>
        <w:rPr>
          <w:rFonts w:hint="default" w:ascii="Times New Roman" w:hAnsi="Times New Roman" w:eastAsia="仿宋_GB2312" w:cs="Times New Roman"/>
          <w:kern w:val="2"/>
          <w:sz w:val="32"/>
          <w:szCs w:val="32"/>
        </w:rPr>
        <w:t>井冈山大学新冠肺炎疫情防控应急预案</w:t>
      </w:r>
      <w:r>
        <w:rPr>
          <w:rFonts w:hint="default" w:ascii="Times New Roman" w:hAnsi="Times New Roman" w:eastAsia="仿宋_GB2312" w:cs="Times New Roman"/>
          <w:sz w:val="32"/>
          <w:szCs w:val="32"/>
        </w:rPr>
        <w:t>》（井大字〔2021〕57号）和《井冈山大学2022年春季学期开学教学工作方案》（教务字〔2022〕6号），为保障井冈山大学疫情防控期间线上教学的顺利开展，及时处置线上教学突发事件，保证我校线上教学平稳有序运行，实现“停学不停教、停课不停学”的目标，特制定本应急预案。</w:t>
      </w:r>
    </w:p>
    <w:p>
      <w:pPr>
        <w:spacing w:line="560" w:lineRule="exact"/>
        <w:ind w:firstLine="643" w:firstLineChars="200"/>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二、线上教学突发事件应急领导小组</w:t>
      </w:r>
    </w:p>
    <w:p>
      <w:p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组  长：分管教学副校长</w:t>
      </w:r>
    </w:p>
    <w:p>
      <w:pPr>
        <w:spacing w:line="560" w:lineRule="exact"/>
        <w:ind w:firstLine="640" w:firstLineChars="200"/>
        <w:rPr>
          <w:rFonts w:hint="default" w:ascii="Times New Roman" w:hAnsi="Times New Roman" w:eastAsia="仿宋_GB2312" w:cs="Times New Roman"/>
          <w:color w:val="000000" w:themeColor="text1"/>
          <w:sz w:val="32"/>
          <w:szCs w:val="32"/>
          <w14:textFill>
            <w14:solidFill>
              <w14:schemeClr w14:val="tx1"/>
            </w14:solidFill>
          </w14:textFill>
        </w:rPr>
      </w:pPr>
      <w:r>
        <w:rPr>
          <w:rFonts w:hint="default" w:ascii="Times New Roman" w:hAnsi="Times New Roman" w:eastAsia="仿宋_GB2312" w:cs="Times New Roman"/>
          <w:color w:val="000000" w:themeColor="text1"/>
          <w:sz w:val="32"/>
          <w:szCs w:val="32"/>
          <w14:textFill>
            <w14:solidFill>
              <w14:schemeClr w14:val="tx1"/>
            </w14:solidFill>
          </w14:textFill>
        </w:rPr>
        <w:t>成  员：教务处、学生工作处、网络信息中心、</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教师教学发展中心、</w:t>
      </w:r>
      <w:r>
        <w:rPr>
          <w:rFonts w:hint="default" w:ascii="Times New Roman" w:hAnsi="Times New Roman" w:eastAsia="仿宋_GB2312" w:cs="Times New Roman"/>
          <w:color w:val="000000" w:themeColor="text1"/>
          <w:sz w:val="32"/>
          <w:szCs w:val="32"/>
          <w14:textFill>
            <w14:solidFill>
              <w14:schemeClr w14:val="tx1"/>
            </w14:solidFill>
          </w14:textFill>
        </w:rPr>
        <w:t>教育教学评估中心等职能部门负责人，各学院（部）</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分管</w:t>
      </w:r>
      <w:r>
        <w:rPr>
          <w:rFonts w:hint="default" w:ascii="Times New Roman" w:hAnsi="Times New Roman" w:eastAsia="仿宋_GB2312" w:cs="Times New Roman"/>
          <w:color w:val="000000" w:themeColor="text1"/>
          <w:sz w:val="32"/>
          <w:szCs w:val="32"/>
          <w14:textFill>
            <w14:solidFill>
              <w14:schemeClr w14:val="tx1"/>
            </w14:solidFill>
          </w14:textFill>
        </w:rPr>
        <w:t>教学</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的</w:t>
      </w:r>
      <w:r>
        <w:rPr>
          <w:rFonts w:hint="default" w:ascii="Times New Roman" w:hAnsi="Times New Roman" w:eastAsia="仿宋_GB2312" w:cs="Times New Roman"/>
          <w:color w:val="000000" w:themeColor="text1"/>
          <w:sz w:val="32"/>
          <w:szCs w:val="32"/>
          <w14:textFill>
            <w14:solidFill>
              <w14:schemeClr w14:val="tx1"/>
            </w14:solidFill>
          </w14:textFill>
        </w:rPr>
        <w:t>副院长</w:t>
      </w:r>
      <w:r>
        <w:rPr>
          <w:rFonts w:hint="default" w:ascii="Times New Roman" w:hAnsi="Times New Roman" w:eastAsia="仿宋_GB2312" w:cs="Times New Roman"/>
          <w:color w:val="000000" w:themeColor="text1"/>
          <w:sz w:val="32"/>
          <w:szCs w:val="32"/>
          <w:lang w:eastAsia="zh-CN"/>
          <w14:textFill>
            <w14:solidFill>
              <w14:schemeClr w14:val="tx1"/>
            </w14:solidFill>
          </w14:textFill>
        </w:rPr>
        <w:t>、</w:t>
      </w:r>
      <w:r>
        <w:rPr>
          <w:rFonts w:hint="default" w:ascii="Times New Roman" w:hAnsi="Times New Roman" w:eastAsia="仿宋_GB2312" w:cs="Times New Roman"/>
          <w:color w:val="000000" w:themeColor="text1"/>
          <w:sz w:val="32"/>
          <w:szCs w:val="32"/>
          <w14:textFill>
            <w14:solidFill>
              <w14:schemeClr w14:val="tx1"/>
            </w14:solidFill>
          </w14:textFill>
        </w:rPr>
        <w:t>各学院（部）副书记。</w:t>
      </w:r>
    </w:p>
    <w:p>
      <w:p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各部门工作职责：</w:t>
      </w:r>
    </w:p>
    <w:p>
      <w:p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1.教务处：做好关于线上教学突发性事件信息发布、教学应急通知下发、教学安排等工作。</w:t>
      </w:r>
    </w:p>
    <w:p>
      <w:p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2.学生工作处：做好学生工作应急通知下发，适时关注学生诉求，做好学生舆论引导工作。</w:t>
      </w:r>
    </w:p>
    <w:p>
      <w:p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3.网络信息中心：做好线上教学网络保障，负责与教学平台负责人员联系提供技术保障。</w:t>
      </w:r>
    </w:p>
    <w:p>
      <w:pPr>
        <w:spacing w:line="560" w:lineRule="exact"/>
        <w:ind w:firstLine="640" w:firstLineChars="200"/>
        <w:rPr>
          <w:rFonts w:hint="default" w:ascii="Times New Roman" w:hAnsi="Times New Roman" w:eastAsia="仿宋_GB2312" w:cs="Times New Roman"/>
          <w:color w:val="000000" w:themeColor="text1"/>
          <w:sz w:val="32"/>
          <w:szCs w:val="32"/>
          <w14:textFill>
            <w14:solidFill>
              <w14:schemeClr w14:val="tx1"/>
            </w14:solidFill>
          </w14:textFill>
        </w:rPr>
      </w:pPr>
      <w:r>
        <w:rPr>
          <w:rFonts w:hint="default" w:ascii="Times New Roman" w:hAnsi="Times New Roman" w:eastAsia="仿宋_GB2312" w:cs="Times New Roman"/>
          <w:color w:val="000000" w:themeColor="text1"/>
          <w:sz w:val="32"/>
          <w:szCs w:val="32"/>
          <w14:textFill>
            <w14:solidFill>
              <w14:schemeClr w14:val="tx1"/>
            </w14:solidFill>
          </w14:textFill>
        </w:rPr>
        <w:t>4.教育教学评估中心：做好线上教学质量监督。</w:t>
      </w:r>
    </w:p>
    <w:p>
      <w:pPr>
        <w:spacing w:line="560" w:lineRule="exact"/>
        <w:ind w:firstLine="640" w:firstLineChars="200"/>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pP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5.教师教学发展中心：做好线上教学指导培训。</w:t>
      </w:r>
    </w:p>
    <w:p>
      <w:pPr>
        <w:spacing w:line="560" w:lineRule="exact"/>
        <w:ind w:firstLine="640" w:firstLineChars="200"/>
        <w:rPr>
          <w:rFonts w:hint="default" w:ascii="Times New Roman" w:hAnsi="Times New Roman" w:eastAsia="仿宋_GB2312" w:cs="Times New Roman"/>
          <w:color w:val="000000" w:themeColor="text1"/>
          <w:sz w:val="32"/>
          <w:szCs w:val="32"/>
          <w14:textFill>
            <w14:solidFill>
              <w14:schemeClr w14:val="tx1"/>
            </w14:solidFill>
          </w14:textFill>
        </w:rPr>
      </w:pP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6</w:t>
      </w:r>
      <w:r>
        <w:rPr>
          <w:rFonts w:hint="default" w:ascii="Times New Roman" w:hAnsi="Times New Roman" w:eastAsia="仿宋_GB2312" w:cs="Times New Roman"/>
          <w:color w:val="000000" w:themeColor="text1"/>
          <w:sz w:val="32"/>
          <w:szCs w:val="32"/>
          <w14:textFill>
            <w14:solidFill>
              <w14:schemeClr w14:val="tx1"/>
            </w14:solidFill>
          </w14:textFill>
        </w:rPr>
        <w:t>.各学院（部）：做好关于线上教学突发性事件应急处置落实工作，并适时关注教师和学生诉求，做好宣传及舆论引导工作。</w:t>
      </w:r>
    </w:p>
    <w:p>
      <w:pPr>
        <w:spacing w:line="560" w:lineRule="exact"/>
        <w:ind w:firstLine="643" w:firstLineChars="200"/>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 xml:space="preserve"> 三、线上教学突发事件及应急处置措施</w:t>
      </w:r>
    </w:p>
    <w:p>
      <w:p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线上教学过程中，可能会出现包括授课平台故障、网络故障、设备故障和网络安全管理等突发事件，现将各突发事件的预防措施及应急处置办法详细说明。</w:t>
      </w:r>
    </w:p>
    <w:p>
      <w:pPr>
        <w:spacing w:line="560" w:lineRule="exact"/>
        <w:ind w:firstLine="643" w:firstLineChars="200"/>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（一）授课平台故障应急预案</w:t>
      </w:r>
    </w:p>
    <w:p>
      <w:pPr>
        <w:spacing w:line="560" w:lineRule="exact"/>
        <w:ind w:firstLine="643"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可能发生的突发事件：</w:t>
      </w:r>
      <w:r>
        <w:rPr>
          <w:rFonts w:hint="default" w:ascii="Times New Roman" w:hAnsi="Times New Roman" w:eastAsia="仿宋_GB2312" w:cs="Times New Roman"/>
          <w:sz w:val="32"/>
          <w:szCs w:val="32"/>
        </w:rPr>
        <w:t>教师选择的授课平台因网络堵塞、软件和硬件故障及其他不可抗拒因素导致教师无法准时授课或学生无法正常学习。</w:t>
      </w:r>
    </w:p>
    <w:p>
      <w:pPr>
        <w:spacing w:line="560" w:lineRule="exact"/>
        <w:ind w:firstLine="643" w:firstLineChars="200"/>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预防举措及应急处置办法：</w:t>
      </w:r>
    </w:p>
    <w:p>
      <w:p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授课教师应根据课程特点和教学需要，至少选用一种网络教学平台作为主要教学平台，同时选好备用平台并了解其基本操作。建议选择教育平台和商业交流软件混合使用，并备好PPT录播课件提前上传至两个平台。</w:t>
      </w:r>
    </w:p>
    <w:p>
      <w:p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2.授课教师在熟练操作线上教学平台的同时，应组建课程微信群、QQ群或利用会议软件等社交平台，与班级内所有学生实现互动，对课程教学进行实时管理，至少与班级内一名学生负责人互留电话。</w:t>
      </w:r>
    </w:p>
    <w:p>
      <w:p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3.在教学平台发生故障后，授课教师应立即通过课程微信群、QQ群或会议软件等社交平台通知上课学生在线等待，并及时联系相关平台的技术支持尽快排除故障。</w:t>
      </w:r>
    </w:p>
    <w:p>
      <w:p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当排除故障所需时间较长，本次课程教学无法继续进行时，授课教师应及时将后续安排告知学生，并向学生提供PPT录播课件或其他有效教学音像资源等相关学习资料，供学生自学，并明确告知学生自学的要求、时长和测试方式。</w:t>
      </w:r>
    </w:p>
    <w:p>
      <w:p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5.授课教师应做好学生考勤、作业、平时成绩等关键教学数据的备份，避免因平台故障导致数据丢失。</w:t>
      </w:r>
    </w:p>
    <w:p>
      <w:pPr>
        <w:spacing w:line="560" w:lineRule="exact"/>
        <w:ind w:firstLine="643" w:firstLineChars="200"/>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（二）网络故障应急预案</w:t>
      </w:r>
    </w:p>
    <w:p>
      <w:pPr>
        <w:spacing w:line="560" w:lineRule="exact"/>
        <w:ind w:firstLine="643"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可能发生的突发事件：</w:t>
      </w:r>
      <w:r>
        <w:rPr>
          <w:rFonts w:hint="default" w:ascii="Times New Roman" w:hAnsi="Times New Roman" w:eastAsia="仿宋_GB2312" w:cs="Times New Roman"/>
          <w:sz w:val="32"/>
          <w:szCs w:val="32"/>
        </w:rPr>
        <w:t>线上教学当日由于平台用户访问量过大导致网络堵塞，造成教师无法准时授课或学生无法正常学习；授课教师或学生地处偏远地区，不具备网络授课条件或被隔离无法完成授课。</w:t>
      </w:r>
    </w:p>
    <w:p>
      <w:pPr>
        <w:spacing w:line="560" w:lineRule="exact"/>
        <w:ind w:firstLine="643" w:firstLineChars="200"/>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预防举措及应急处置办法：</w:t>
      </w:r>
    </w:p>
    <w:p>
      <w:p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授课教师可使用家用宽带或校园网(已在校教师)进行线上教学。为保证教学效果，建议使用有线宽带连接。授课教师在使用宽带线上教学时，应保持手机4G网络畅通，在宽带网络发生故障时，迅速切换至手机热点网络，继续完成授课。</w:t>
      </w:r>
    </w:p>
    <w:p>
      <w:p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2.授课教师应在课程教学开始前（30分钟）检查网络连接，确保余额充足，网络信号良好，网速达到教学要求。</w:t>
      </w:r>
    </w:p>
    <w:p>
      <w:p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家用网络发生故障时，授课教师应及时联系运营商报修；校园网络发生故障时，授课教师应及时联系学校网络中心报修。当排除故障所需时间较长，课程教学无法继续进行时，授课教师应及时将后续安排告知学生，并向学生提供配音PPT课件或其他有效教学音像资源等相关学习资料，供学生自学，并明确告知学生自学的要求、时长和测试方式。</w:t>
      </w:r>
    </w:p>
    <w:p>
      <w:p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4.宽带网络与手机4G网络同时发生故障时，授课教师可更换其他网络或请其他教师代为授课，并通过电话、课程微信群、QQ群及时告知学生后续安排。</w:t>
      </w:r>
    </w:p>
    <w:p>
      <w:p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5.因网速较慢，时区差异等问题不能参与直播教学的学生，授课教师应向学生提供PPT录播课件或其他有效教学音像资源等相关学习资料，供学生自学，并明确告知学生自学的要求、时长和测试方式。因网络不通无法参与线上教学的学生，授课教师应制定相应的学习方案，避免影响学生学业。</w:t>
      </w:r>
    </w:p>
    <w:p>
      <w:pPr>
        <w:spacing w:line="560" w:lineRule="exact"/>
        <w:ind w:firstLine="643" w:firstLineChars="200"/>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（三）设备故障应急预案</w:t>
      </w:r>
    </w:p>
    <w:p>
      <w:pPr>
        <w:spacing w:line="560" w:lineRule="exact"/>
        <w:ind w:firstLine="643"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可能发生的突发事件：</w:t>
      </w:r>
      <w:r>
        <w:rPr>
          <w:rFonts w:hint="default" w:ascii="Times New Roman" w:hAnsi="Times New Roman" w:eastAsia="仿宋_GB2312" w:cs="Times New Roman"/>
          <w:sz w:val="32"/>
          <w:szCs w:val="32"/>
        </w:rPr>
        <w:t>线上教学过程中由于授课教师或个别学生利用的多媒体设备、PC或移动终端发生故障，造成教师无法(准时)授课或个别学生无法正常学习。</w:t>
      </w:r>
    </w:p>
    <w:p>
      <w:pPr>
        <w:spacing w:line="560" w:lineRule="exact"/>
        <w:ind w:firstLine="643" w:firstLineChars="200"/>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预防举措及应急处置办法：</w:t>
      </w:r>
    </w:p>
    <w:p>
      <w:p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1.授课教师应根据所选教学平台的技术要求，选择合适的授课设备，并提前检查设备状况，保证教学顺利进行。</w:t>
      </w:r>
    </w:p>
    <w:p>
      <w:p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2.授课教师应同时备有授课电脑和手机，在条件允许的情况下，建议授课教师准备备用电脑。</w:t>
      </w:r>
    </w:p>
    <w:p>
      <w:p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设备发生故障时，授课教师通过电话、课程微信群、QQ群及时告知学生后续安排，并向学生提供配音PPT课件或其他有效教学音像资源等相关学习资料，供学生自学，并明确告知学生自学的要求、时长和测试方式。</w:t>
      </w:r>
    </w:p>
    <w:p>
      <w:p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4.授课电脑与手机同时发生故障时，授课教师应尽快维修或更换设备。当排除故障所需时间较长，课程教学无法继续进行时，授课教师应及时通过其他电话、课程微信群、QQ群将后续安排告知学生。</w:t>
      </w:r>
    </w:p>
    <w:p>
      <w:p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5.学生上课设备发生故障时，应该在不影响教师正常授课的情况下及时通知授课教师，然后尽快维修或更换设备。如果无法及时解决故障时，应该事后跟授课教师索要配音PPT课件或其他有效教学音像资源等相关学习资料，了解自学的要求、时长和测试方式，按时提交在线作业等。</w:t>
      </w:r>
    </w:p>
    <w:p>
      <w:pPr>
        <w:spacing w:line="560" w:lineRule="exact"/>
        <w:ind w:firstLine="643" w:firstLineChars="200"/>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（四）网络安全管理应急预案</w:t>
      </w:r>
    </w:p>
    <w:p>
      <w:pPr>
        <w:spacing w:line="560" w:lineRule="exact"/>
        <w:ind w:firstLine="643"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可能发生的突发事件：</w:t>
      </w:r>
      <w:r>
        <w:rPr>
          <w:rFonts w:hint="default" w:ascii="Times New Roman" w:hAnsi="Times New Roman" w:eastAsia="仿宋_GB2312" w:cs="Times New Roman"/>
          <w:sz w:val="32"/>
          <w:szCs w:val="32"/>
        </w:rPr>
        <w:t>线上教学过程中，发现有学生散播不当言论、传播不实信息；线上教学过程中有黑客入侵事件；线上教学过程中由于网络资源不正当作用，发生版权侵权事件等。</w:t>
      </w:r>
    </w:p>
    <w:p>
      <w:pPr>
        <w:spacing w:line="560" w:lineRule="exact"/>
        <w:ind w:firstLine="643" w:firstLineChars="200"/>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预防举措及应急处置办法：</w:t>
      </w:r>
    </w:p>
    <w:p>
      <w:p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线上教学要把立德树人融入教学全过程，注重社会主义核心价值观的培养，要注重师德、教风与学风的建设。授课教师在教学过程中，不得散播不当言论，传播不实信息。如有上述行为，一经查实，按照学校规定严肃处理。</w:t>
      </w:r>
    </w:p>
    <w:p>
      <w:p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2.在网络教学过程中，如果发现有人散播不当言论，传播不实信息，授课教师应立即暂停授课，制止不当行为，并向相应教学平台的技术支持报告，消除相关文字与记录，避免影响扩大。</w:t>
      </w:r>
    </w:p>
    <w:p>
      <w:p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3.线上教学过程中发生黑客入侵等网络安全事件时，授课教师应立即停止授课，并向相应教学平台的技术支持报告，按照平台故障应急预案处理。</w:t>
      </w:r>
    </w:p>
    <w:p>
      <w:p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授课教师应提前充分备课，准备好所需的教学资源，包括但不限于图片、PPT、视频、习题、文档、参考资料、讨论主题（或者案例分析题）等，并上传到网上做好备份。应按照保密要求对教学内容做好筛查，不得使用涉密设备上网，做到“涉密不上网，上网不涉密”。</w:t>
      </w:r>
    </w:p>
    <w:p>
      <w:p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5.授课教师在授课过程中必须向学生强调尊重并注意保护知识产权，包括图片、PPT、音频、视频等授课内容和相关资料，未经老师书面同意，请勿进行个人学习目的之外的传播。</w:t>
      </w:r>
    </w:p>
    <w:p>
      <w:pPr>
        <w:spacing w:line="560" w:lineRule="exact"/>
        <w:ind w:right="840"/>
        <w:jc w:val="right"/>
        <w:rPr>
          <w:rFonts w:hint="default" w:ascii="Times New Roman" w:hAnsi="Times New Roman" w:eastAsia="仿宋_GB2312" w:cs="Times New Roman"/>
          <w:sz w:val="32"/>
          <w:szCs w:val="32"/>
        </w:rPr>
      </w:pPr>
    </w:p>
    <w:p>
      <w:pPr>
        <w:spacing w:line="560" w:lineRule="exact"/>
        <w:ind w:right="840"/>
        <w:jc w:val="center"/>
        <w:rPr>
          <w:rFonts w:hint="default" w:ascii="Times New Roman" w:hAnsi="Times New Roman" w:eastAsia="仿宋_GB2312" w:cs="Times New Roman"/>
          <w:sz w:val="32"/>
          <w:szCs w:val="32"/>
        </w:rPr>
      </w:pPr>
      <w:r>
        <w:rPr>
          <w:rFonts w:hint="eastAsia" w:ascii="Times New Roman" w:hAnsi="Times New Roman" w:eastAsia="仿宋_GB2312" w:cs="Times New Roman"/>
          <w:sz w:val="32"/>
          <w:szCs w:val="32"/>
          <w:lang w:val="en-US" w:eastAsia="zh-CN"/>
        </w:rPr>
        <w:t xml:space="preserve">                                   </w:t>
      </w:r>
      <w:bookmarkStart w:id="0" w:name="_GoBack"/>
      <w:bookmarkEnd w:id="0"/>
      <w:r>
        <w:rPr>
          <w:rFonts w:hint="default" w:ascii="Times New Roman" w:hAnsi="Times New Roman" w:eastAsia="仿宋_GB2312" w:cs="Times New Roman"/>
          <w:sz w:val="32"/>
          <w:szCs w:val="32"/>
        </w:rPr>
        <w:t xml:space="preserve">教务处    </w:t>
      </w:r>
    </w:p>
    <w:p>
      <w:pPr>
        <w:wordWrap w:val="0"/>
        <w:spacing w:line="560" w:lineRule="exact"/>
        <w:jc w:val="right"/>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2022年3月</w:t>
      </w:r>
      <w:r>
        <w:rPr>
          <w:rFonts w:hint="default" w:ascii="Times New Roman" w:hAnsi="Times New Roman" w:eastAsia="仿宋_GB2312" w:cs="Times New Roman"/>
          <w:sz w:val="32"/>
          <w:szCs w:val="32"/>
          <w:lang w:val="en-US" w:eastAsia="zh-CN"/>
        </w:rPr>
        <w:t>22</w:t>
      </w:r>
      <w:r>
        <w:rPr>
          <w:rFonts w:hint="default" w:ascii="Times New Roman" w:hAnsi="Times New Roman" w:eastAsia="仿宋_GB2312" w:cs="Times New Roman"/>
          <w:sz w:val="32"/>
          <w:szCs w:val="32"/>
        </w:rPr>
        <w:t xml:space="preserve">日  </w:t>
      </w:r>
    </w:p>
    <w:p>
      <w:pPr>
        <w:spacing w:line="560" w:lineRule="exact"/>
        <w:rPr>
          <w:rFonts w:hint="default" w:ascii="Times New Roman" w:hAnsi="Times New Roman" w:eastAsia="仿宋_GB2312" w:cs="Times New Roman"/>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471E5"/>
    <w:rsid w:val="000B314E"/>
    <w:rsid w:val="001900B9"/>
    <w:rsid w:val="00362298"/>
    <w:rsid w:val="00383469"/>
    <w:rsid w:val="00505D65"/>
    <w:rsid w:val="00567AD0"/>
    <w:rsid w:val="005A712F"/>
    <w:rsid w:val="0064254F"/>
    <w:rsid w:val="0066249D"/>
    <w:rsid w:val="007471E5"/>
    <w:rsid w:val="00781F65"/>
    <w:rsid w:val="008035D7"/>
    <w:rsid w:val="00813676"/>
    <w:rsid w:val="00890683"/>
    <w:rsid w:val="008B4E99"/>
    <w:rsid w:val="00924CD5"/>
    <w:rsid w:val="00B5651C"/>
    <w:rsid w:val="00B627AD"/>
    <w:rsid w:val="00BC3F18"/>
    <w:rsid w:val="00C413A7"/>
    <w:rsid w:val="00D37584"/>
    <w:rsid w:val="00DB0B9B"/>
    <w:rsid w:val="1A645229"/>
    <w:rsid w:val="2ADB385F"/>
    <w:rsid w:val="2CAD1552"/>
    <w:rsid w:val="2CD72F3A"/>
    <w:rsid w:val="552E4418"/>
    <w:rsid w:val="584E7DEA"/>
    <w:rsid w:val="5D877AEA"/>
    <w:rsid w:val="6319386D"/>
    <w:rsid w:val="7D7946B4"/>
    <w:rsid w:val="7F9B32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footer"/>
    <w:basedOn w:val="1"/>
    <w:link w:val="10"/>
    <w:unhideWhenUsed/>
    <w:uiPriority w:val="99"/>
    <w:pPr>
      <w:tabs>
        <w:tab w:val="center" w:pos="4153"/>
        <w:tab w:val="right" w:pos="8306"/>
      </w:tabs>
      <w:snapToGrid w:val="0"/>
      <w:jc w:val="left"/>
    </w:pPr>
    <w:rPr>
      <w:sz w:val="18"/>
      <w:szCs w:val="18"/>
    </w:rPr>
  </w:style>
  <w:style w:type="paragraph" w:styleId="3">
    <w:name w:val="header"/>
    <w:basedOn w:val="1"/>
    <w:link w:val="9"/>
    <w:unhideWhenUsed/>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unhideWhenUsed/>
    <w:uiPriority w:val="99"/>
    <w:pPr>
      <w:widowControl/>
      <w:spacing w:before="100" w:beforeAutospacing="1" w:after="100" w:afterAutospacing="1"/>
      <w:jc w:val="left"/>
    </w:pPr>
    <w:rPr>
      <w:rFonts w:ascii="宋体" w:hAnsi="宋体" w:eastAsia="宋体" w:cs="宋体"/>
      <w:kern w:val="0"/>
      <w:sz w:val="24"/>
      <w:szCs w:val="24"/>
    </w:rPr>
  </w:style>
  <w:style w:type="paragraph" w:styleId="7">
    <w:name w:val="List Paragraph"/>
    <w:basedOn w:val="1"/>
    <w:qFormat/>
    <w:uiPriority w:val="34"/>
    <w:pPr>
      <w:ind w:firstLine="420" w:firstLineChars="200"/>
    </w:pPr>
  </w:style>
  <w:style w:type="character" w:customStyle="1" w:styleId="8">
    <w:name w:val="bjh-p"/>
    <w:basedOn w:val="6"/>
    <w:uiPriority w:val="0"/>
  </w:style>
  <w:style w:type="character" w:customStyle="1" w:styleId="9">
    <w:name w:val="页眉 Char"/>
    <w:basedOn w:val="6"/>
    <w:link w:val="3"/>
    <w:uiPriority w:val="99"/>
    <w:rPr>
      <w:sz w:val="18"/>
      <w:szCs w:val="18"/>
    </w:rPr>
  </w:style>
  <w:style w:type="character" w:customStyle="1" w:styleId="10">
    <w:name w:val="页脚 Char"/>
    <w:basedOn w:val="6"/>
    <w:link w:val="2"/>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2.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CC0C257-EC52-41CA-9777-FD009145FFC8}">
  <ds:schemaRefs/>
</ds:datastoreItem>
</file>

<file path=docProps/app.xml><?xml version="1.0" encoding="utf-8"?>
<Properties xmlns="http://schemas.openxmlformats.org/officeDocument/2006/extended-properties" xmlns:vt="http://schemas.openxmlformats.org/officeDocument/2006/docPropsVTypes">
  <Template>Normal</Template>
  <Pages>6</Pages>
  <Words>2718</Words>
  <Characters>2783</Characters>
  <Lines>19</Lines>
  <Paragraphs>5</Paragraphs>
  <TotalTime>5</TotalTime>
  <ScaleCrop>false</ScaleCrop>
  <LinksUpToDate>false</LinksUpToDate>
  <CharactersWithSpaces>2794</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2022-03-22T00:32:00Z</dcterms:created>
  <dc:creator>JWC</dc:creator>
  <cp:lastModifiedBy>冷明</cp:lastModifiedBy>
  <dcterms:modified xsi:type="dcterms:W3CDTF">2022-03-22T08:16:08Z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1CF113313AE64D20B0174284F157ACF6</vt:lpwstr>
  </property>
</Properties>
</file>