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7BA" w:rsidRDefault="00D87AD6"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</w:p>
    <w:p w:rsidR="00C247BA" w:rsidRDefault="00D87AD6" w:rsidP="000C67A9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井冈山大学</w:t>
      </w:r>
      <w:r>
        <w:rPr>
          <w:rFonts w:ascii="方正小标宋简体" w:eastAsia="方正小标宋简体" w:hint="eastAsia"/>
          <w:sz w:val="44"/>
          <w:szCs w:val="44"/>
        </w:rPr>
        <w:t>2023</w:t>
      </w:r>
      <w:r>
        <w:rPr>
          <w:rFonts w:ascii="方正小标宋简体" w:eastAsia="方正小标宋简体" w:hint="eastAsia"/>
          <w:sz w:val="44"/>
          <w:szCs w:val="44"/>
        </w:rPr>
        <w:t>年学生</w:t>
      </w:r>
      <w:r>
        <w:rPr>
          <w:rFonts w:ascii="方正小标宋简体" w:eastAsia="方正小标宋简体" w:hint="eastAsia"/>
          <w:sz w:val="44"/>
          <w:szCs w:val="44"/>
        </w:rPr>
        <w:t>有氧操比</w:t>
      </w:r>
      <w:r>
        <w:rPr>
          <w:rFonts w:ascii="方正小标宋简体" w:eastAsia="方正小标宋简体" w:hint="eastAsia"/>
          <w:sz w:val="44"/>
          <w:szCs w:val="44"/>
        </w:rPr>
        <w:t>赛</w:t>
      </w:r>
    </w:p>
    <w:p w:rsidR="00C247BA" w:rsidRDefault="00D87AD6" w:rsidP="000C67A9">
      <w:pPr>
        <w:spacing w:line="70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竞赛规程</w:t>
      </w:r>
    </w:p>
    <w:p w:rsidR="000C67A9" w:rsidRDefault="000C67A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C247BA" w:rsidRDefault="00D87AD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一、主办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井冈山大学体育工作委员会</w:t>
      </w:r>
    </w:p>
    <w:p w:rsidR="00C247BA" w:rsidRDefault="00D87AD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二、承办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井冈山大学体育学院</w:t>
      </w:r>
    </w:p>
    <w:p w:rsidR="00C247BA" w:rsidRDefault="00D87AD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三、时间地点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地点：井冈山大学</w:t>
      </w:r>
      <w:r>
        <w:rPr>
          <w:rFonts w:ascii="仿宋_GB2312" w:eastAsia="仿宋_GB2312" w:hint="eastAsia"/>
          <w:sz w:val="32"/>
          <w:szCs w:val="32"/>
        </w:rPr>
        <w:t>北区田径场</w:t>
      </w:r>
    </w:p>
    <w:p w:rsidR="00C247BA" w:rsidRDefault="00D87AD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四、比赛项目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有氧操自编动作（自编音乐），题材积极向上，主题鲜明。时间长为：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</w:t>
      </w:r>
      <w:r>
        <w:rPr>
          <w:rFonts w:ascii="仿宋_GB2312" w:eastAsia="仿宋_GB2312" w:hint="eastAsia"/>
          <w:sz w:val="32"/>
          <w:szCs w:val="32"/>
        </w:rPr>
        <w:t>55</w:t>
      </w:r>
      <w:r>
        <w:rPr>
          <w:rFonts w:ascii="仿宋_GB2312" w:eastAsia="仿宋_GB2312" w:hint="eastAsia"/>
          <w:sz w:val="32"/>
          <w:szCs w:val="32"/>
        </w:rPr>
        <w:t>秒至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秒。</w:t>
      </w:r>
    </w:p>
    <w:p w:rsidR="00C247BA" w:rsidRDefault="00D87AD6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参赛资格</w:t>
      </w:r>
    </w:p>
    <w:p w:rsidR="00C247BA" w:rsidRDefault="00D87AD6">
      <w:pPr>
        <w:widowControl/>
        <w:shd w:val="clear" w:color="auto" w:fill="FFFFFF"/>
        <w:spacing w:line="56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各学院、部必须组队参赛，每队</w:t>
      </w:r>
      <w:r>
        <w:rPr>
          <w:rFonts w:ascii="仿宋_GB2312" w:eastAsia="仿宋_GB2312" w:hint="eastAsia"/>
          <w:sz w:val="32"/>
          <w:szCs w:val="32"/>
        </w:rPr>
        <w:t>16-24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，男女比例不限</w:t>
      </w:r>
      <w:r>
        <w:rPr>
          <w:rFonts w:ascii="仿宋_GB2312" w:eastAsia="仿宋_GB2312" w:hint="eastAsia"/>
          <w:sz w:val="32"/>
          <w:szCs w:val="32"/>
        </w:rPr>
        <w:t>。参赛运动员需为本学院学生</w:t>
      </w:r>
      <w:r>
        <w:rPr>
          <w:rFonts w:ascii="仿宋_GB2312" w:eastAsia="仿宋_GB2312" w:hint="eastAsia"/>
          <w:sz w:val="32"/>
          <w:szCs w:val="32"/>
        </w:rPr>
        <w:t>且</w:t>
      </w:r>
      <w:r>
        <w:rPr>
          <w:rFonts w:ascii="仿宋_GB2312" w:eastAsia="仿宋_GB2312" w:hint="eastAsia"/>
          <w:sz w:val="32"/>
          <w:szCs w:val="32"/>
        </w:rPr>
        <w:t>身体状况必须适合参加本项目比赛。各单位要严把运动员健康关，如比赛中出现意外，由各学院自行负责。</w:t>
      </w:r>
      <w:r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 w:hint="eastAsia"/>
          <w:sz w:val="32"/>
          <w:szCs w:val="32"/>
        </w:rPr>
        <w:t>报领队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教练</w:t>
      </w: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C247BA" w:rsidRDefault="00D87AD6">
      <w:pPr>
        <w:widowControl/>
        <w:numPr>
          <w:ilvl w:val="0"/>
          <w:numId w:val="1"/>
        </w:numPr>
        <w:shd w:val="clear" w:color="auto" w:fill="FFFFFF"/>
        <w:spacing w:line="62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竞赛办法</w:t>
      </w:r>
    </w:p>
    <w:p w:rsidR="00C247BA" w:rsidRDefault="00D87AD6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比赛采用打分制进行评比。</w:t>
      </w:r>
    </w:p>
    <w:p w:rsidR="00C247BA" w:rsidRDefault="00D87AD6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比赛顺序由教练员赛前抽签决定</w:t>
      </w:r>
    </w:p>
    <w:p w:rsidR="00C247BA" w:rsidRDefault="00D87AD6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根据参赛人数及组织情况设立最佳组织奖</w:t>
      </w:r>
    </w:p>
    <w:p w:rsidR="00C247BA" w:rsidRDefault="00D87AD6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比赛开始，按抽签顺序比赛，二分钟未上场比赛视</w:t>
      </w:r>
      <w:r>
        <w:rPr>
          <w:rFonts w:ascii="仿宋_GB2312" w:eastAsia="仿宋_GB2312" w:hint="eastAsia"/>
          <w:sz w:val="32"/>
          <w:szCs w:val="32"/>
        </w:rPr>
        <w:lastRenderedPageBreak/>
        <w:t>为弃权。</w:t>
      </w:r>
    </w:p>
    <w:p w:rsidR="00C247BA" w:rsidRDefault="00D87AD6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七、名次录取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比赛录取前八名，颁发锦旗。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获得前四名的参赛队，</w:t>
      </w:r>
      <w:r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 w:hint="eastAsia"/>
          <w:sz w:val="32"/>
          <w:szCs w:val="32"/>
        </w:rPr>
        <w:t>推荐参加全校运动会开幕式表演。</w:t>
      </w:r>
    </w:p>
    <w:p w:rsidR="00C247BA" w:rsidRDefault="00D87AD6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八、比赛要求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进退场简洁。侧面进场，另一侧面退场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按抽签顺序。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参赛人员要求统一着装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动作要求准确到位，整齐划一，连贯流畅，方向、角度、线路无误。</w:t>
      </w:r>
    </w:p>
    <w:p w:rsidR="00C247BA" w:rsidRDefault="00D87AD6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hAnsi="宋体"/>
          <w:b/>
          <w:color w:val="000000"/>
          <w:sz w:val="24"/>
          <w:szCs w:val="24"/>
          <w:u w:val="single" w:color="FFFFFF" w:themeColor="background1"/>
        </w:rPr>
      </w:pPr>
      <w:r>
        <w:rPr>
          <w:rFonts w:ascii="黑体" w:eastAsia="黑体" w:hAnsi="黑体" w:hint="eastAsia"/>
          <w:sz w:val="32"/>
          <w:szCs w:val="32"/>
        </w:rPr>
        <w:t>九、评分</w:t>
      </w:r>
      <w:r>
        <w:rPr>
          <w:rFonts w:ascii="黑体" w:eastAsia="黑体" w:hAnsi="黑体" w:hint="eastAsia"/>
          <w:sz w:val="36"/>
          <w:szCs w:val="36"/>
        </w:rPr>
        <w:t>标</w:t>
      </w:r>
      <w:r>
        <w:rPr>
          <w:rFonts w:ascii="黑体" w:eastAsia="黑体" w:hAnsi="黑体" w:hint="eastAsia"/>
          <w:sz w:val="32"/>
          <w:szCs w:val="32"/>
        </w:rPr>
        <w:t>准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850"/>
        <w:gridCol w:w="709"/>
        <w:gridCol w:w="6459"/>
      </w:tblGrid>
      <w:tr w:rsidR="00C247BA">
        <w:trPr>
          <w:trHeight w:val="271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ind w:firstLineChars="100" w:firstLine="241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评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细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则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说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明</w:t>
            </w:r>
          </w:p>
        </w:tc>
      </w:tr>
      <w:tr w:rsidR="00C247BA">
        <w:trPr>
          <w:trHeight w:val="1001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进、退场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C247BA">
            <w:pPr>
              <w:widowControl/>
              <w:spacing w:beforeLines="100" w:before="312"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D87AD6">
            <w:pPr>
              <w:widowControl/>
              <w:spacing w:line="360" w:lineRule="atLeast"/>
              <w:ind w:firstLineChars="100" w:firstLine="241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、进退场评分细则：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进退场的编排与设计的合理性及完成的一致性，指挥员的口令清晰、声音洪亮、节奏准确；少于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30%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的人队列队形变化不整齐扣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分，在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30%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50%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之间扣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分，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50%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以上扣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分。</w:t>
            </w:r>
          </w:p>
          <w:p w:rsidR="00C247BA" w:rsidRDefault="00D87AD6">
            <w:pPr>
              <w:widowControl/>
              <w:spacing w:line="360" w:lineRule="atLeast"/>
              <w:ind w:firstLineChars="100" w:firstLine="241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、精神面貌评分细则：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精神面貌是指队员自始至终表现出充沛的精神，充满自信，以自身的活力和激情完成动作并感染观众（包括服饰的合适度、色调搭配协调）；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30%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以下的人欠缺上述精神面貌扣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分，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30%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50%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之间扣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分，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50%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以上扣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分。</w:t>
            </w:r>
          </w:p>
          <w:p w:rsidR="00C247BA" w:rsidRDefault="00D87AD6">
            <w:pPr>
              <w:widowControl/>
              <w:spacing w:line="360" w:lineRule="atLeast"/>
              <w:ind w:firstLineChars="100" w:firstLine="241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完成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得分：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动作的准确性，姿态正确、动作技术规范、准确到位。动作的熟练性，要求动作熟练、流畅、连贯。动作的幅度，幅度的大小影响到健身和表演的效果。动作的力度，动作应有控制、有弹性。</w:t>
            </w:r>
          </w:p>
          <w:p w:rsidR="00C247BA" w:rsidRDefault="00D87AD6">
            <w:pPr>
              <w:widowControl/>
              <w:spacing w:line="360" w:lineRule="atLeast"/>
              <w:ind w:firstLineChars="100" w:firstLine="241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．艺术得分：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动作优美，完成动作协调，舒展，具有良好的表现效果。表现力，运动员通过自己的情绪、表情、感情的投入来吸引、感染评委。总体印象，成套表演的效果和气氛，是否体现有氧操的特有活力、激情和健康向上的本质特点。</w:t>
            </w:r>
          </w:p>
          <w:p w:rsidR="00C247BA" w:rsidRDefault="00D87AD6">
            <w:pPr>
              <w:widowControl/>
              <w:spacing w:line="360" w:lineRule="atLeast"/>
              <w:ind w:firstLineChars="100" w:firstLine="241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、缺席评分细则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：按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报名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参赛人数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为准，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每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多出一名参赛队员或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缺席一名参赛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队员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均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扣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C247BA" w:rsidRDefault="00D87AD6">
            <w:pPr>
              <w:widowControl/>
              <w:spacing w:line="360" w:lineRule="atLeast"/>
              <w:ind w:firstLineChars="100" w:firstLine="241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、总成绩计算：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比赛成绩满分为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分，以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0.5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分为最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小单位对错误进行扣分；最后得分的计算方法：去掉最高分和最低分，取其它得分的平均分为最终得分。</w:t>
            </w:r>
          </w:p>
        </w:tc>
      </w:tr>
      <w:tr w:rsidR="00C247BA">
        <w:trPr>
          <w:trHeight w:val="8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完成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C247BA">
            <w:pPr>
              <w:widowControl/>
              <w:spacing w:beforeLines="100" w:before="312"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C247BA">
            <w:pPr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  <w:tr w:rsidR="00C247BA">
        <w:trPr>
          <w:trHeight w:val="912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艺术得分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C247BA">
            <w:pPr>
              <w:widowControl/>
              <w:spacing w:beforeLines="100" w:before="312"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C247BA">
            <w:pPr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  <w:tr w:rsidR="00C247BA">
        <w:trPr>
          <w:trHeight w:val="97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精神面貌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C247BA">
            <w:pPr>
              <w:widowControl/>
              <w:spacing w:beforeLines="100" w:before="312"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C247BA">
            <w:pPr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  <w:tr w:rsidR="00C247BA">
        <w:trPr>
          <w:trHeight w:val="54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C247BA">
            <w:pPr>
              <w:widowControl/>
              <w:spacing w:beforeLines="100" w:before="312"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C247BA">
            <w:pPr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</w:tbl>
    <w:p w:rsidR="00C247BA" w:rsidRDefault="00D87AD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说明：裁判委员会由裁判长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人、裁判员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～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人、记录员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名组成。</w:t>
      </w:r>
      <w:r>
        <w:rPr>
          <w:rFonts w:ascii="仿宋_GB2312" w:eastAsia="仿宋_GB2312" w:hint="eastAsia"/>
          <w:sz w:val="32"/>
          <w:szCs w:val="32"/>
        </w:rPr>
        <w:t>依照</w:t>
      </w:r>
      <w:r>
        <w:rPr>
          <w:rFonts w:ascii="仿宋_GB2312" w:eastAsia="仿宋_GB2312" w:hint="eastAsia"/>
          <w:sz w:val="32"/>
          <w:szCs w:val="32"/>
        </w:rPr>
        <w:t>有氧</w:t>
      </w:r>
      <w:r>
        <w:rPr>
          <w:rFonts w:ascii="仿宋_GB2312" w:eastAsia="仿宋_GB2312" w:hint="eastAsia"/>
          <w:sz w:val="32"/>
          <w:szCs w:val="32"/>
        </w:rPr>
        <w:t>操比赛评分表，建立裁判委员会进行评分；去掉最高分和最低分，取</w:t>
      </w:r>
      <w:proofErr w:type="gramStart"/>
      <w:r>
        <w:rPr>
          <w:rFonts w:ascii="仿宋_GB2312" w:eastAsia="仿宋_GB2312" w:hint="eastAsia"/>
          <w:sz w:val="32"/>
          <w:szCs w:val="32"/>
        </w:rPr>
        <w:t>各其他</w:t>
      </w:r>
      <w:proofErr w:type="gramEnd"/>
      <w:r>
        <w:rPr>
          <w:rFonts w:ascii="仿宋_GB2312" w:eastAsia="仿宋_GB2312" w:hint="eastAsia"/>
          <w:sz w:val="32"/>
          <w:szCs w:val="32"/>
        </w:rPr>
        <w:t>得分的平均分，合并计算出最终得分。按照最终得分排名，依次评出各个奖项。</w:t>
      </w:r>
    </w:p>
    <w:p w:rsidR="00C247BA" w:rsidRDefault="00D87AD6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>
        <w:rPr>
          <w:rFonts w:ascii="黑体" w:eastAsia="黑体" w:hAnsi="黑体" w:hint="eastAsia"/>
          <w:sz w:val="32"/>
          <w:szCs w:val="32"/>
        </w:rPr>
        <w:t>、报名方式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报名截止时间为：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日。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报名方法：各学院请填好报名表（见附件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打印纸质文档并</w:t>
      </w:r>
      <w:r>
        <w:rPr>
          <w:rFonts w:ascii="仿宋_GB2312" w:eastAsia="仿宋_GB2312" w:hint="eastAsia"/>
          <w:sz w:val="32"/>
          <w:szCs w:val="32"/>
        </w:rPr>
        <w:t>盖</w:t>
      </w:r>
      <w:r>
        <w:rPr>
          <w:rFonts w:ascii="仿宋_GB2312" w:eastAsia="仿宋_GB2312" w:hint="eastAsia"/>
          <w:sz w:val="32"/>
          <w:szCs w:val="32"/>
        </w:rPr>
        <w:t>学院印章。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</w:t>
      </w:r>
      <w:r>
        <w:rPr>
          <w:rFonts w:ascii="仿宋_GB2312" w:eastAsia="仿宋_GB2312" w:hint="eastAsia"/>
          <w:sz w:val="32"/>
          <w:szCs w:val="32"/>
        </w:rPr>
        <w:t>联系人：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赵俊豪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13356895489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>老师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137554</w:t>
      </w:r>
      <w:r>
        <w:rPr>
          <w:rFonts w:ascii="仿宋_GB2312" w:eastAsia="仿宋_GB2312" w:hint="eastAsia"/>
          <w:sz w:val="32"/>
          <w:szCs w:val="32"/>
        </w:rPr>
        <w:t>33885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邮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箱：</w:t>
      </w:r>
      <w:r>
        <w:rPr>
          <w:rFonts w:ascii="仿宋_GB2312" w:eastAsia="仿宋_GB2312" w:hint="eastAsia"/>
          <w:sz w:val="32"/>
          <w:szCs w:val="32"/>
        </w:rPr>
        <w:t>1791152267</w:t>
      </w:r>
      <w:r>
        <w:rPr>
          <w:rFonts w:ascii="仿宋_GB2312" w:eastAsia="仿宋_GB2312" w:hint="eastAsia"/>
          <w:sz w:val="32"/>
          <w:szCs w:val="32"/>
        </w:rPr>
        <w:t xml:space="preserve">@qq.com   </w:t>
      </w:r>
    </w:p>
    <w:p w:rsidR="00C247BA" w:rsidRDefault="00D87AD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 w:hint="eastAsia"/>
          <w:sz w:val="32"/>
          <w:szCs w:val="32"/>
        </w:rPr>
        <w:t>、仲裁委员会及裁判员由井冈山大学体育学院与井冈山大学</w:t>
      </w:r>
      <w:r>
        <w:rPr>
          <w:rFonts w:ascii="黑体" w:eastAsia="黑体" w:hAnsi="黑体" w:hint="eastAsia"/>
          <w:sz w:val="32"/>
          <w:szCs w:val="32"/>
        </w:rPr>
        <w:t>健美操</w:t>
      </w:r>
      <w:r>
        <w:rPr>
          <w:rFonts w:ascii="黑体" w:eastAsia="黑体" w:hAnsi="黑体" w:hint="eastAsia"/>
          <w:sz w:val="32"/>
          <w:szCs w:val="32"/>
        </w:rPr>
        <w:t>协会指派。</w:t>
      </w:r>
    </w:p>
    <w:p w:rsidR="00C247BA" w:rsidRDefault="00D87AD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</w:t>
      </w:r>
      <w:r>
        <w:rPr>
          <w:rFonts w:ascii="黑体" w:eastAsia="黑体" w:hAnsi="黑体" w:hint="eastAsia"/>
          <w:sz w:val="32"/>
          <w:szCs w:val="32"/>
        </w:rPr>
        <w:t>、对运动员违反行为准则的处罚条例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必须服赛会的有关规定、服从赛会安排、服从裁判；不打架闹事、不干扰比赛、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无故中断比赛，甚至罢赛；比赛中如有异议，须按有关申诉程序提出申诉。</w:t>
      </w:r>
    </w:p>
    <w:p w:rsidR="00C247BA" w:rsidRDefault="00D87A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如有违纪现象发生，将按照有关规定予以处罚，直至取消其个人比赛资格、通报批评，情况严重送至当地公安机关等处罚。</w:t>
      </w:r>
      <w:r>
        <w:rPr>
          <w:rFonts w:ascii="仿宋_GB2312" w:eastAsia="仿宋_GB2312" w:hint="eastAsia"/>
          <w:sz w:val="32"/>
          <w:szCs w:val="32"/>
        </w:rPr>
        <w:t>对运动员违反行为准则，将视情节和违反的条目</w:t>
      </w:r>
      <w:proofErr w:type="gramStart"/>
      <w:r>
        <w:rPr>
          <w:rFonts w:ascii="仿宋_GB2312" w:eastAsia="仿宋_GB2312" w:hint="eastAsia"/>
          <w:sz w:val="32"/>
          <w:szCs w:val="32"/>
        </w:rPr>
        <w:t>交学校</w:t>
      </w:r>
      <w:proofErr w:type="gramEnd"/>
      <w:r>
        <w:rPr>
          <w:rFonts w:ascii="仿宋_GB2312" w:eastAsia="仿宋_GB2312" w:hint="eastAsia"/>
          <w:sz w:val="32"/>
          <w:szCs w:val="32"/>
        </w:rPr>
        <w:t>处罚。处罚程序：赛场违纪由临场主裁判记录违纪行为和填写处罚通知单，交裁判长核准签字后，由监督负责实施；</w:t>
      </w:r>
      <w:r>
        <w:rPr>
          <w:rFonts w:ascii="仿宋_GB2312" w:eastAsia="仿宋_GB2312" w:hint="eastAsia"/>
          <w:sz w:val="32"/>
          <w:szCs w:val="32"/>
        </w:rPr>
        <w:lastRenderedPageBreak/>
        <w:t>赛场外违纪由裁判长或监督直接实施处罚。</w:t>
      </w:r>
    </w:p>
    <w:p w:rsidR="00C247BA" w:rsidRDefault="00D87AD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十三、</w:t>
      </w:r>
      <w:r>
        <w:rPr>
          <w:rFonts w:ascii="黑体" w:eastAsia="黑体" w:hAnsi="黑体" w:hint="eastAsia"/>
          <w:sz w:val="32"/>
          <w:szCs w:val="32"/>
        </w:rPr>
        <w:t>本规程解释权、修改权属井冈山大学体育</w:t>
      </w:r>
      <w:r>
        <w:rPr>
          <w:rFonts w:ascii="黑体" w:eastAsia="黑体" w:hAnsi="黑体" w:hint="eastAsia"/>
          <w:sz w:val="32"/>
          <w:szCs w:val="32"/>
        </w:rPr>
        <w:t>工作委员会</w:t>
      </w:r>
      <w:r>
        <w:rPr>
          <w:rFonts w:ascii="黑体" w:eastAsia="黑体" w:hAnsi="黑体" w:hint="eastAsia"/>
          <w:sz w:val="32"/>
          <w:szCs w:val="32"/>
        </w:rPr>
        <w:t>，未尽事宜另行通知</w:t>
      </w:r>
    </w:p>
    <w:p w:rsidR="00C247BA" w:rsidRDefault="00D87AD6">
      <w:pPr>
        <w:spacing w:line="560" w:lineRule="exact"/>
        <w:ind w:firstLineChars="200" w:firstLine="640"/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</w:t>
      </w:r>
    </w:p>
    <w:p w:rsidR="00C247BA" w:rsidRDefault="00D87AD6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井冈山大学体育工作委员会</w:t>
      </w:r>
    </w:p>
    <w:p w:rsidR="00C247BA" w:rsidRDefault="00D87AD6">
      <w:r>
        <w:rPr>
          <w:rFonts w:ascii="仿宋_GB2312" w:eastAsia="仿宋_GB2312" w:hint="eastAsia"/>
          <w:sz w:val="32"/>
          <w:szCs w:val="32"/>
        </w:rPr>
        <w:t xml:space="preserve">                               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 xml:space="preserve">日　</w:t>
      </w:r>
    </w:p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C247BA" w:rsidRDefault="00C247BA"/>
    <w:p w:rsidR="000C67A9" w:rsidRDefault="000C67A9">
      <w:pPr>
        <w:rPr>
          <w:rFonts w:hint="eastAsia"/>
        </w:rPr>
      </w:pPr>
    </w:p>
    <w:p w:rsidR="00C247BA" w:rsidRDefault="00D87AD6">
      <w:pPr>
        <w:widowControl/>
        <w:spacing w:line="500" w:lineRule="exact"/>
        <w:rPr>
          <w:rFonts w:ascii="宋体" w:hAnsi="宋体"/>
          <w:color w:val="000000"/>
          <w:kern w:val="0"/>
          <w:sz w:val="24"/>
          <w:szCs w:val="24"/>
        </w:rPr>
      </w:pPr>
      <w:r w:rsidRPr="000C67A9">
        <w:rPr>
          <w:rFonts w:ascii="宋体" w:hAnsi="宋体" w:hint="eastAsia"/>
          <w:color w:val="000000"/>
          <w:kern w:val="0"/>
          <w:sz w:val="24"/>
          <w:szCs w:val="24"/>
        </w:rPr>
        <w:lastRenderedPageBreak/>
        <w:t>附件</w:t>
      </w:r>
      <w:r w:rsidRPr="000C67A9">
        <w:rPr>
          <w:rFonts w:ascii="宋体" w:hAnsi="宋体" w:hint="eastAsia"/>
          <w:color w:val="000000"/>
          <w:kern w:val="0"/>
          <w:sz w:val="24"/>
          <w:szCs w:val="24"/>
        </w:rPr>
        <w:t>2</w:t>
      </w:r>
    </w:p>
    <w:p w:rsidR="000C67A9" w:rsidRPr="000C67A9" w:rsidRDefault="000C67A9">
      <w:pPr>
        <w:widowControl/>
        <w:spacing w:line="500" w:lineRule="exact"/>
        <w:rPr>
          <w:rFonts w:ascii="宋体" w:hAnsi="宋体" w:hint="eastAsia"/>
          <w:color w:val="000000"/>
          <w:kern w:val="0"/>
          <w:sz w:val="24"/>
          <w:szCs w:val="24"/>
        </w:rPr>
      </w:pPr>
    </w:p>
    <w:p w:rsidR="00C247BA" w:rsidRDefault="00D87AD6">
      <w:pPr>
        <w:widowControl/>
        <w:spacing w:line="500" w:lineRule="exact"/>
        <w:jc w:val="center"/>
        <w:rPr>
          <w:rFonts w:ascii="宋体" w:hAnsi="宋体"/>
          <w:b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color w:val="000000"/>
          <w:kern w:val="0"/>
          <w:sz w:val="36"/>
          <w:szCs w:val="36"/>
        </w:rPr>
        <w:t>井冈山大学第</w:t>
      </w:r>
      <w:r>
        <w:rPr>
          <w:rFonts w:ascii="宋体" w:hAnsi="宋体" w:hint="eastAsia"/>
          <w:b/>
          <w:color w:val="000000"/>
          <w:kern w:val="0"/>
          <w:sz w:val="36"/>
          <w:szCs w:val="36"/>
        </w:rPr>
        <w:t>二届有氧</w:t>
      </w:r>
      <w:r>
        <w:rPr>
          <w:rFonts w:ascii="宋体" w:hAnsi="宋体" w:hint="eastAsia"/>
          <w:b/>
          <w:color w:val="000000"/>
          <w:kern w:val="0"/>
          <w:sz w:val="36"/>
          <w:szCs w:val="36"/>
        </w:rPr>
        <w:t>操比赛报名表</w:t>
      </w:r>
    </w:p>
    <w:p w:rsidR="00C247BA" w:rsidRDefault="00C247BA">
      <w:pPr>
        <w:widowControl/>
        <w:spacing w:line="500" w:lineRule="exact"/>
        <w:jc w:val="center"/>
        <w:rPr>
          <w:rFonts w:ascii="宋体" w:hAnsi="宋体"/>
          <w:b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476"/>
        <w:gridCol w:w="776"/>
        <w:gridCol w:w="5628"/>
      </w:tblGrid>
      <w:tr w:rsidR="00C247BA">
        <w:trPr>
          <w:trHeight w:val="87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D87AD6">
            <w:pPr>
              <w:widowControl/>
              <w:spacing w:line="360" w:lineRule="atLeas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参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赛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247BA">
        <w:trPr>
          <w:trHeight w:val="740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D87AD6">
            <w:pPr>
              <w:widowControl/>
              <w:spacing w:line="360" w:lineRule="atLeas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领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队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C247BA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D87AD6"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办公室：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手机：</w:t>
            </w:r>
          </w:p>
        </w:tc>
      </w:tr>
      <w:tr w:rsidR="00C247BA">
        <w:trPr>
          <w:trHeight w:val="830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D87AD6">
            <w:pPr>
              <w:widowControl/>
              <w:spacing w:line="360" w:lineRule="atLeas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练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C247BA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D87AD6">
            <w:pPr>
              <w:widowControl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D87AD6"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办公室：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手机：</w:t>
            </w:r>
          </w:p>
        </w:tc>
      </w:tr>
      <w:tr w:rsidR="00C247BA">
        <w:trPr>
          <w:trHeight w:val="5100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D87AD6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参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赛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员名单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BA" w:rsidRDefault="00C247BA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C247BA" w:rsidRDefault="00D87AD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黑体" w:eastAsia="黑体" w:hAnsi="黑体" w:hint="eastAsia"/>
          <w:sz w:val="32"/>
          <w:szCs w:val="32"/>
        </w:rPr>
        <w:t xml:space="preserve">             </w:t>
      </w:r>
    </w:p>
    <w:p w:rsidR="00C247BA" w:rsidRDefault="00D87AD6"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C247BA" w:rsidRDefault="00C247BA"/>
    <w:sectPr w:rsidR="00C24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AD6" w:rsidRDefault="00D87AD6" w:rsidP="000C67A9">
      <w:r>
        <w:separator/>
      </w:r>
    </w:p>
  </w:endnote>
  <w:endnote w:type="continuationSeparator" w:id="0">
    <w:p w:rsidR="00D87AD6" w:rsidRDefault="00D87AD6" w:rsidP="000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AD6" w:rsidRDefault="00D87AD6" w:rsidP="000C67A9">
      <w:r>
        <w:separator/>
      </w:r>
    </w:p>
  </w:footnote>
  <w:footnote w:type="continuationSeparator" w:id="0">
    <w:p w:rsidR="00D87AD6" w:rsidRDefault="00D87AD6" w:rsidP="000C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5154"/>
    <w:multiLevelType w:val="singleLevel"/>
    <w:tmpl w:val="0D145154"/>
    <w:lvl w:ilvl="0">
      <w:start w:val="1"/>
      <w:numFmt w:val="decimal"/>
      <w:suff w:val="nothing"/>
      <w:lvlText w:val="%1、"/>
      <w:lvlJc w:val="left"/>
      <w:pPr>
        <w:ind w:left="800" w:firstLine="0"/>
      </w:pPr>
    </w:lvl>
  </w:abstractNum>
  <w:abstractNum w:abstractNumId="1" w15:restartNumberingAfterBreak="0">
    <w:nsid w:val="473737A2"/>
    <w:multiLevelType w:val="singleLevel"/>
    <w:tmpl w:val="473737A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zMmVlZTQwYzljZjNiNDk1ZjZlZmZlZDJjZTA4YmEifQ=="/>
  </w:docVars>
  <w:rsids>
    <w:rsidRoot w:val="739948BD"/>
    <w:rsid w:val="000C67A9"/>
    <w:rsid w:val="00C247BA"/>
    <w:rsid w:val="00D87AD6"/>
    <w:rsid w:val="05AF2A5B"/>
    <w:rsid w:val="12BB05A9"/>
    <w:rsid w:val="29377BAE"/>
    <w:rsid w:val="2A6039AE"/>
    <w:rsid w:val="3014630D"/>
    <w:rsid w:val="3CDA428B"/>
    <w:rsid w:val="400D4ACC"/>
    <w:rsid w:val="44FF13A1"/>
    <w:rsid w:val="5FDC19AA"/>
    <w:rsid w:val="6A38664B"/>
    <w:rsid w:val="739948BD"/>
    <w:rsid w:val="7530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87BE9"/>
  <w15:docId w15:val="{85C3B3C0-290E-4D4C-9D8B-5D0DF21A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C67A9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0C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67A9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侯凤莲</cp:lastModifiedBy>
  <cp:revision>2</cp:revision>
  <dcterms:created xsi:type="dcterms:W3CDTF">2023-04-23T14:24:00Z</dcterms:created>
  <dcterms:modified xsi:type="dcterms:W3CDTF">2023-04-24T09:18:00Z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B04E0331D59A4774898DB9D0FC626419_12</vt:lpwstr>
  </property>
</Properties>
</file>