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E23" w:rsidRPr="00E75E23" w:rsidRDefault="00E75E23">
      <w:pPr>
        <w:rPr>
          <w:rFonts w:ascii="Times New Roman" w:eastAsia="黑体" w:hAnsi="Times New Roman"/>
          <w:sz w:val="28"/>
          <w:szCs w:val="28"/>
        </w:rPr>
      </w:pPr>
      <w:r w:rsidRPr="00E75E23">
        <w:rPr>
          <w:sz w:val="28"/>
          <w:szCs w:val="28"/>
          <w:lang w:val="en-US" w:eastAsia="zh-CN"/>
        </w:rPr>
        <w:pict>
          <v:shapetype id="_x0000_t202" coordsize="21600,21600" o:spt="202" path="m,l,21600r21600,l21600,xe">
            <v:stroke joinstyle="miter"/>
            <v:path gradientshapeok="t" o:connecttype="rect"/>
          </v:shapetype>
          <v:shape id="WJBT2" o:spid="_x0000_s1032" type="#_x0000_t202" style="position:absolute;left:0;text-align:left;margin-left:0;margin-top:-28.35pt;width:36.85pt;height:26pt;z-index:251665408;mso-position-horizontal:center;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" stroked="f">
            <v:textbox inset="0,0,0,0">
              <w:txbxContent>
                <w:p w:rsidR="00E75E23" w:rsidRDefault="00E75E23">
                  <w:pPr>
                    <w:spacing w:line="520" w:lineRule="exact"/>
                    <w:jc w:val="distribute"/>
                    <w:rPr>
                      <w:sz w:val="48"/>
                      <w:szCs w:val="48"/>
                    </w:rPr>
                  </w:pPr>
                  <w:r>
                    <w:rPr>
                      <w:rFonts w:hint="eastAsia"/>
                      <w:color w:val="FF0000"/>
                      <w:sz w:val="48"/>
                      <w:szCs w:val="48"/>
                    </w:rPr>
                    <w:t>★</w:t>
                  </w:r>
                </w:p>
              </w:txbxContent>
            </v:textbox>
            <w10:wrap anchory="page"/>
            <w10:anchorlock/>
          </v:shape>
        </w:pict>
      </w:r>
    </w:p>
    <w:p w:rsidR="00E75E23" w:rsidRPr="00E75E23" w:rsidRDefault="00E75E23">
      <w:pPr>
        <w:rPr>
          <w:rFonts w:ascii="方正黑体_GBK" w:eastAsia="方正黑体_GBK" w:hAnsi="Times New Roman"/>
          <w:sz w:val="28"/>
          <w:szCs w:val="28"/>
        </w:rPr>
      </w:pPr>
    </w:p>
    <w:p w:rsidR="00E75E23" w:rsidRPr="00E75E23" w:rsidRDefault="00E75E23">
      <w:pPr>
        <w:rPr>
          <w:rFonts w:ascii="方正黑体_GBK" w:eastAsia="方正黑体_GBK"/>
          <w:sz w:val="28"/>
          <w:szCs w:val="28"/>
        </w:rPr>
      </w:pPr>
      <w:r w:rsidRPr="00E75E23">
        <w:rPr>
          <w:sz w:val="28"/>
          <w:szCs w:val="28"/>
          <w:lang w:val="en-US" w:eastAsia="zh-CN"/>
        </w:rPr>
        <w:pict>
          <v:shape id="WJBT" o:spid="_x0000_s1026" type="#_x0000_t202" style="position:absolute;left:0;text-align:left;margin-left:13.95pt;margin-top:186pt;width:413.95pt;height:78pt;z-index:-251657216;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" filled="f" stroked="f">
            <v:textbox inset="0,0,0,0">
              <w:txbxContent>
                <w:p w:rsidR="00E75E23" w:rsidRDefault="00E75E23">
                  <w:pPr>
                    <w:spacing w:line="1440" w:lineRule="exact"/>
                    <w:jc w:val="distribute"/>
                    <w:rPr>
                      <w:rFonts w:ascii="方正小标宋简体" w:eastAsia="方正小标宋简体" w:hint="eastAsia"/>
                      <w:color w:val="FF0000"/>
                      <w:w w:val="64"/>
                      <w:sz w:val="110"/>
                      <w:szCs w:val="110"/>
                    </w:rPr>
                  </w:pPr>
                  <w:r>
                    <w:rPr>
                      <w:rFonts w:ascii="方正小标宋简体" w:eastAsia="方正小标宋简体" w:hAnsi="Times New Roman" w:hint="eastAsia"/>
                      <w:color w:val="FF0000"/>
                      <w:w w:val="64"/>
                      <w:sz w:val="110"/>
                      <w:szCs w:val="110"/>
                    </w:rPr>
                    <w:t>井冈山大学文件</w:t>
                  </w:r>
                </w:p>
              </w:txbxContent>
            </v:textbox>
            <w10:wrap anchory="page"/>
          </v:shape>
        </w:pict>
      </w:r>
    </w:p>
    <w:p w:rsidR="00E75E23" w:rsidRPr="00E75E23" w:rsidRDefault="00E75E23">
      <w:pPr>
        <w:spacing w:line="795" w:lineRule="exact"/>
        <w:rPr>
          <w:sz w:val="28"/>
          <w:szCs w:val="28"/>
        </w:rPr>
      </w:pPr>
    </w:p>
    <w:p w:rsidR="00E75E23" w:rsidRPr="00E75E23" w:rsidRDefault="00E75E23">
      <w:pPr>
        <w:tabs>
          <w:tab w:val="left" w:pos="2212"/>
        </w:tabs>
        <w:rPr>
          <w:sz w:val="28"/>
          <w:szCs w:val="28"/>
        </w:rPr>
      </w:pPr>
    </w:p>
    <w:p w:rsidR="00E75E23" w:rsidRPr="00E75E23" w:rsidRDefault="00E75E23">
      <w:pPr>
        <w:spacing w:line="360" w:lineRule="exact"/>
        <w:ind w:rightChars="100" w:right="210"/>
        <w:rPr>
          <w:sz w:val="28"/>
          <w:szCs w:val="28"/>
        </w:rPr>
      </w:pPr>
    </w:p>
    <w:p w:rsidR="00E75E23" w:rsidRPr="00E75E23" w:rsidRDefault="00E75E23">
      <w:pPr>
        <w:ind w:rightChars="100" w:right="210"/>
        <w:rPr>
          <w:sz w:val="28"/>
          <w:szCs w:val="28"/>
        </w:rPr>
      </w:pPr>
    </w:p>
    <w:p w:rsidR="00E75E23" w:rsidRPr="00E75E23" w:rsidRDefault="00E75E23">
      <w:pPr>
        <w:jc w:val="center"/>
        <w:rPr>
          <w:rFonts w:ascii="仿宋_GB2312" w:eastAsia="仿宋_GB2312" w:hint="eastAsia"/>
          <w:sz w:val="28"/>
          <w:szCs w:val="28"/>
        </w:rPr>
      </w:pPr>
      <w:bookmarkStart w:id="0" w:name="文号"/>
      <w:r w:rsidRPr="00E75E23">
        <w:rPr>
          <w:rFonts w:ascii="仿宋_GB2312" w:eastAsia="仿宋_GB2312" w:hint="eastAsia"/>
          <w:sz w:val="28"/>
          <w:szCs w:val="28"/>
        </w:rPr>
        <w:t>井大发〔2019〕38号</w:t>
      </w:r>
      <w:bookmarkEnd w:id="0"/>
    </w:p>
    <w:p w:rsidR="00E75E23" w:rsidRPr="00E75E23" w:rsidRDefault="00E75E23">
      <w:pPr>
        <w:rPr>
          <w:sz w:val="28"/>
          <w:szCs w:val="28"/>
        </w:rPr>
      </w:pPr>
      <w:r w:rsidRPr="00E75E23">
        <w:rPr>
          <w:sz w:val="28"/>
          <w:szCs w:val="28"/>
          <w:lang w:val="en-US" w:eastAsia="zh-CN"/>
        </w:rPr>
        <w:pict>
          <v:line id="BTBX" o:spid="_x0000_s1031" style="position:absolute;left:0;text-align:left;z-index:251664384;mso-position-vertical-relative:page" from="-.05pt,340.2pt" to="442.15pt,3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" strokecolor="red" strokeweight="1.25pt">
            <w10:wrap anchory="page"/>
            <w10:anchorlock/>
          </v:line>
        </w:pict>
      </w:r>
    </w:p>
    <w:p w:rsidR="00E75E23" w:rsidRPr="00E75E23" w:rsidRDefault="00E75E23">
      <w:pPr>
        <w:rPr>
          <w:sz w:val="28"/>
          <w:szCs w:val="28"/>
        </w:rPr>
      </w:pPr>
    </w:p>
    <w:p w:rsidR="00E75E23" w:rsidRPr="00E75E23" w:rsidRDefault="00E75E23">
      <w:pPr>
        <w:widowControl/>
        <w:spacing w:line="700" w:lineRule="exact"/>
        <w:jc w:val="center"/>
        <w:rPr>
          <w:rFonts w:ascii="方正小标宋简体" w:eastAsia="方正小标宋简体"/>
          <w:sz w:val="44"/>
          <w:szCs w:val="44"/>
        </w:rPr>
      </w:pPr>
      <w:r w:rsidRPr="00E75E23">
        <w:rPr>
          <w:rFonts w:ascii="方正小标宋简体" w:eastAsia="方正小标宋简体" w:hint="eastAsia"/>
          <w:sz w:val="44"/>
          <w:szCs w:val="44"/>
        </w:rPr>
        <w:t>关于印发《</w:t>
      </w:r>
      <w:r w:rsidRPr="00E75E23">
        <w:rPr>
          <w:rFonts w:ascii="方正小标宋简体" w:eastAsia="方正小标宋简体" w:cs="黑体" w:hint="eastAsia"/>
          <w:color w:val="333333"/>
          <w:sz w:val="44"/>
          <w:szCs w:val="44"/>
        </w:rPr>
        <w:t>井冈山大学一流课程建设实施方案(2019-2021)</w:t>
      </w:r>
      <w:r w:rsidRPr="00E75E23">
        <w:rPr>
          <w:rFonts w:ascii="方正小标宋简体" w:eastAsia="方正小标宋简体" w:hint="eastAsia"/>
          <w:sz w:val="44"/>
          <w:szCs w:val="44"/>
        </w:rPr>
        <w:t>》的通知</w:t>
      </w:r>
    </w:p>
    <w:p w:rsidR="00E75E23" w:rsidRPr="00E75E23" w:rsidRDefault="00E75E23">
      <w:pPr>
        <w:rPr>
          <w:sz w:val="28"/>
          <w:szCs w:val="28"/>
        </w:rPr>
      </w:pPr>
    </w:p>
    <w:p w:rsidR="00E75E23" w:rsidRPr="00E75E23" w:rsidRDefault="00E75E23">
      <w:pPr>
        <w:spacing w:line="560" w:lineRule="exact"/>
        <w:rPr>
          <w:rFonts w:ascii="楷体_GB2312" w:eastAsia="楷体_GB2312" w:hAnsi="楷体_GB2312" w:cs="楷体_GB2312" w:hint="eastAsia"/>
          <w:sz w:val="28"/>
          <w:szCs w:val="28"/>
        </w:rPr>
      </w:pPr>
      <w:r w:rsidRPr="00E75E23">
        <w:rPr>
          <w:rFonts w:ascii="楷体_GB2312" w:eastAsia="楷体_GB2312" w:hAnsi="楷体_GB2312" w:cs="楷体_GB2312" w:hint="eastAsia"/>
          <w:sz w:val="28"/>
          <w:szCs w:val="28"/>
        </w:rPr>
        <w:t>各学院（部）、单位，各部门，工会、团委：</w:t>
      </w:r>
    </w:p>
    <w:p w:rsidR="00E75E23" w:rsidRPr="00E75E23" w:rsidRDefault="00E75E23">
      <w:pPr>
        <w:spacing w:line="560" w:lineRule="exact"/>
        <w:ind w:firstLineChars="200" w:firstLine="560"/>
        <w:rPr>
          <w:rFonts w:ascii="楷体_GB2312" w:eastAsia="楷体_GB2312" w:hAnsi="楷体_GB2312" w:cs="楷体_GB2312" w:hint="eastAsia"/>
          <w:sz w:val="28"/>
          <w:szCs w:val="28"/>
        </w:rPr>
      </w:pPr>
      <w:r w:rsidRPr="00E75E23">
        <w:rPr>
          <w:sz w:val="28"/>
          <w:szCs w:val="28"/>
        </w:rPr>
        <w:object w:dxaOrig="2265" w:dyaOrig="2265">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244.15pt;margin-top:573.95pt;width:113.25pt;height:113.25pt;z-index:-251656192;mso-position-vertical-relative:page" o:preferrelative="t" filled="f" stroked="f">
            <v:fill o:detectmouseclick="t"/>
            <v:imagedata r:id="rId4" o:title=""/>
            <v:path shadowok="t" strokeok="t"/>
            <w10:wrap anchory="page"/>
          </v:shape>
          <w:control r:id="rId5" w:name="Control 11" w:shapeid="_x0000_s1027"/>
        </w:object>
      </w:r>
      <w:r w:rsidRPr="00E75E23">
        <w:rPr>
          <w:rFonts w:ascii="楷体_GB2312" w:eastAsia="楷体_GB2312" w:hAnsi="楷体_GB2312" w:cs="楷体_GB2312" w:hint="eastAsia"/>
          <w:sz w:val="28"/>
          <w:szCs w:val="28"/>
        </w:rPr>
        <w:t>《</w:t>
      </w:r>
      <w:r w:rsidRPr="00E75E23">
        <w:rPr>
          <w:rFonts w:ascii="楷体_GB2312" w:eastAsia="楷体_GB2312" w:hAnsi="楷体_GB2312" w:cs="楷体_GB2312" w:hint="eastAsia"/>
          <w:bCs/>
          <w:sz w:val="28"/>
          <w:szCs w:val="28"/>
        </w:rPr>
        <w:t>井冈山大学一流课程建设实施方案(2019-2021)</w:t>
      </w:r>
      <w:r w:rsidRPr="00E75E23">
        <w:rPr>
          <w:rFonts w:ascii="楷体_GB2312" w:eastAsia="楷体_GB2312" w:hAnsi="楷体_GB2312" w:cs="楷体_GB2312" w:hint="eastAsia"/>
          <w:sz w:val="28"/>
          <w:szCs w:val="28"/>
        </w:rPr>
        <w:t>》已于2019年10月11日经校长办公会议审定通过，现予以印发，请认真学习并遵照执行。</w:t>
      </w:r>
    </w:p>
    <w:p w:rsidR="00E75E23" w:rsidRPr="00E75E23" w:rsidRDefault="00E75E23">
      <w:pPr>
        <w:spacing w:line="560" w:lineRule="exact"/>
        <w:rPr>
          <w:rFonts w:ascii="楷体_GB2312" w:eastAsia="楷体_GB2312" w:hAnsi="楷体_GB2312" w:cs="楷体_GB2312" w:hint="eastAsia"/>
          <w:sz w:val="28"/>
          <w:szCs w:val="28"/>
        </w:rPr>
      </w:pPr>
    </w:p>
    <w:p w:rsidR="00E75E23" w:rsidRPr="00E75E23" w:rsidRDefault="00E75E23">
      <w:pPr>
        <w:spacing w:line="560" w:lineRule="exact"/>
        <w:ind w:firstLineChars="1700" w:firstLine="4760"/>
        <w:rPr>
          <w:rFonts w:ascii="楷体_GB2312" w:eastAsia="楷体_GB2312" w:hAnsi="楷体_GB2312" w:cs="楷体_GB2312" w:hint="eastAsia"/>
          <w:sz w:val="28"/>
          <w:szCs w:val="28"/>
        </w:rPr>
      </w:pPr>
      <w:r w:rsidRPr="00E75E23">
        <w:rPr>
          <w:rFonts w:ascii="楷体_GB2312" w:eastAsia="楷体_GB2312" w:hAnsi="楷体_GB2312" w:cs="楷体_GB2312" w:hint="eastAsia"/>
          <w:sz w:val="28"/>
          <w:szCs w:val="28"/>
        </w:rPr>
        <w:t xml:space="preserve">    井冈山大学</w:t>
      </w:r>
    </w:p>
    <w:p w:rsidR="00E75E23" w:rsidRPr="00E75E23" w:rsidRDefault="00E75E23">
      <w:pPr>
        <w:spacing w:line="560" w:lineRule="exact"/>
        <w:ind w:firstLineChars="1600" w:firstLine="4480"/>
        <w:rPr>
          <w:rFonts w:ascii="楷体_GB2312" w:eastAsia="楷体_GB2312" w:hAnsi="楷体_GB2312" w:cs="楷体_GB2312" w:hint="eastAsia"/>
          <w:sz w:val="28"/>
          <w:szCs w:val="28"/>
        </w:rPr>
      </w:pPr>
      <w:r w:rsidRPr="00E75E23">
        <w:rPr>
          <w:rFonts w:ascii="楷体_GB2312" w:eastAsia="楷体_GB2312" w:hAnsi="楷体_GB2312" w:cs="楷体_GB2312" w:hint="eastAsia"/>
          <w:sz w:val="28"/>
          <w:szCs w:val="28"/>
        </w:rPr>
        <w:t xml:space="preserve">   2019年10月24日 </w:t>
      </w:r>
    </w:p>
    <w:p w:rsidR="00E75E23" w:rsidRPr="00E75E23" w:rsidRDefault="00E75E23">
      <w:pPr>
        <w:widowControl/>
        <w:spacing w:line="700" w:lineRule="exact"/>
        <w:jc w:val="center"/>
        <w:rPr>
          <w:rFonts w:ascii="方正小标宋简体" w:eastAsia="方正小标宋简体" w:hAnsi="Times New Roman"/>
          <w:sz w:val="36"/>
          <w:szCs w:val="36"/>
        </w:rPr>
      </w:pPr>
      <w:r w:rsidRPr="00E75E23">
        <w:rPr>
          <w:rFonts w:ascii="楷体_GB2312" w:eastAsia="楷体_GB2312" w:hAnsi="楷体_GB2312" w:cs="楷体_GB2312" w:hint="eastAsia"/>
          <w:b/>
          <w:sz w:val="28"/>
          <w:szCs w:val="28"/>
        </w:rPr>
        <w:br w:type="page"/>
      </w:r>
      <w:r w:rsidRPr="00E75E23">
        <w:rPr>
          <w:rFonts w:ascii="方正小标宋简体" w:eastAsia="方正小标宋简体" w:hAnsi="Times New Roman" w:hint="eastAsia"/>
          <w:sz w:val="36"/>
          <w:szCs w:val="36"/>
        </w:rPr>
        <w:lastRenderedPageBreak/>
        <w:t>井冈山大学一流课程建设实施方案</w:t>
      </w:r>
    </w:p>
    <w:p w:rsidR="00E75E23" w:rsidRPr="00E75E23" w:rsidRDefault="00E75E23">
      <w:pPr>
        <w:spacing w:line="700" w:lineRule="exact"/>
        <w:jc w:val="center"/>
        <w:rPr>
          <w:rFonts w:ascii="方正小标宋简体" w:eastAsia="方正小标宋简体" w:hAnsi="Times New Roman"/>
          <w:sz w:val="28"/>
          <w:szCs w:val="28"/>
        </w:rPr>
      </w:pPr>
      <w:r w:rsidRPr="00E75E23">
        <w:rPr>
          <w:rFonts w:ascii="方正小标宋简体" w:eastAsia="方正小标宋简体" w:hAnsi="Times New Roman" w:hint="eastAsia"/>
          <w:sz w:val="28"/>
          <w:szCs w:val="28"/>
        </w:rPr>
        <w:t>(2019-2021)</w:t>
      </w:r>
    </w:p>
    <w:p w:rsidR="00E75E23" w:rsidRPr="00E75E23" w:rsidRDefault="00E75E23">
      <w:pPr>
        <w:rPr>
          <w:rFonts w:ascii="Times New Roman" w:hAnsi="Times New Roman"/>
          <w:sz w:val="28"/>
          <w:szCs w:val="28"/>
        </w:rPr>
      </w:pPr>
    </w:p>
    <w:p w:rsidR="00E75E23" w:rsidRPr="00E75E23" w:rsidRDefault="00E75E23">
      <w:pPr>
        <w:spacing w:line="540" w:lineRule="exact"/>
        <w:ind w:firstLineChars="200" w:firstLine="560"/>
        <w:rPr>
          <w:rFonts w:ascii="仿宋_GB2312" w:eastAsia="仿宋_GB2312" w:hAnsi="Times New Roman"/>
          <w:sz w:val="28"/>
          <w:szCs w:val="28"/>
        </w:rPr>
      </w:pPr>
      <w:r w:rsidRPr="00E75E23">
        <w:rPr>
          <w:rFonts w:ascii="仿宋_GB2312" w:eastAsia="仿宋_GB2312" w:hAnsi="Times New Roman" w:hint="eastAsia"/>
          <w:sz w:val="28"/>
          <w:szCs w:val="28"/>
        </w:rPr>
        <w:t>为贯彻落实教育部《关于加快建设高水平本科教育 全面提高人才培养能力的意见》、江西省教育厅《关于全面振兴本科教育的实施意见》和学校《井冈山大学振兴本科教育实施方案》等文件精神，响应国家一流课程（“金课”）“双万计划”，提升我校课程建设水平，支撑我校一流本科专业建设，特制订本方案。</w:t>
      </w:r>
    </w:p>
    <w:p w:rsidR="00E75E23" w:rsidRPr="00E75E23" w:rsidRDefault="00E75E23">
      <w:pPr>
        <w:spacing w:line="540" w:lineRule="exact"/>
        <w:ind w:firstLineChars="200" w:firstLine="560"/>
        <w:rPr>
          <w:rFonts w:ascii="黑体" w:eastAsia="黑体" w:hAnsi="黑体"/>
          <w:sz w:val="28"/>
          <w:szCs w:val="28"/>
          <w:lang w:bidi="ar"/>
        </w:rPr>
      </w:pPr>
      <w:r w:rsidRPr="00E75E23">
        <w:rPr>
          <w:rFonts w:ascii="黑体" w:eastAsia="黑体" w:hAnsi="黑体" w:hint="eastAsia"/>
          <w:sz w:val="28"/>
          <w:szCs w:val="28"/>
        </w:rPr>
        <w:t>一、</w:t>
      </w:r>
      <w:r w:rsidRPr="00E75E23">
        <w:rPr>
          <w:rFonts w:ascii="黑体" w:eastAsia="黑体" w:hAnsi="黑体" w:hint="eastAsia"/>
          <w:bCs/>
          <w:sz w:val="28"/>
          <w:szCs w:val="28"/>
        </w:rPr>
        <w:t>建设目标</w:t>
      </w:r>
    </w:p>
    <w:p w:rsidR="00E75E23" w:rsidRPr="00E75E23" w:rsidRDefault="00E75E23">
      <w:pPr>
        <w:spacing w:line="540" w:lineRule="exact"/>
        <w:ind w:firstLineChars="200" w:firstLine="560"/>
        <w:rPr>
          <w:rFonts w:ascii="仿宋_GB2312" w:eastAsia="仿宋_GB2312" w:hAnsi="Times New Roman"/>
          <w:sz w:val="28"/>
          <w:szCs w:val="28"/>
        </w:rPr>
      </w:pPr>
      <w:r w:rsidRPr="00E75E23">
        <w:rPr>
          <w:rFonts w:ascii="仿宋_GB2312" w:eastAsia="仿宋_GB2312" w:hAnsi="Times New Roman" w:hint="eastAsia"/>
          <w:sz w:val="28"/>
          <w:szCs w:val="28"/>
        </w:rPr>
        <w:t>依据教育部、江西省教育厅对一流课程建设部署，学校拟在2019-2021三年建设期内：</w:t>
      </w:r>
    </w:p>
    <w:p w:rsidR="00E75E23" w:rsidRPr="00E75E23" w:rsidRDefault="00E75E23">
      <w:pPr>
        <w:spacing w:line="540" w:lineRule="exact"/>
        <w:ind w:firstLineChars="200" w:firstLine="560"/>
        <w:rPr>
          <w:rFonts w:ascii="仿宋_GB2312" w:eastAsia="仿宋_GB2312" w:hAnsi="Times New Roman"/>
          <w:sz w:val="28"/>
          <w:szCs w:val="28"/>
        </w:rPr>
      </w:pPr>
      <w:r w:rsidRPr="00E75E23">
        <w:rPr>
          <w:rFonts w:ascii="仿宋_GB2312" w:eastAsia="仿宋_GB2312" w:hAnsi="Times New Roman" w:hint="eastAsia"/>
          <w:sz w:val="28"/>
          <w:szCs w:val="28"/>
        </w:rPr>
        <w:t>（一）建设200门左右的校级一流课程（包括</w:t>
      </w:r>
      <w:proofErr w:type="gramStart"/>
      <w:r w:rsidRPr="00E75E23">
        <w:rPr>
          <w:rFonts w:ascii="仿宋_GB2312" w:eastAsia="仿宋_GB2312" w:hAnsi="Times New Roman" w:hint="eastAsia"/>
          <w:sz w:val="28"/>
          <w:szCs w:val="28"/>
        </w:rPr>
        <w:t>课程思政示范</w:t>
      </w:r>
      <w:proofErr w:type="gramEnd"/>
      <w:r w:rsidRPr="00E75E23">
        <w:rPr>
          <w:rFonts w:ascii="仿宋_GB2312" w:eastAsia="仿宋_GB2312" w:hAnsi="Times New Roman" w:hint="eastAsia"/>
          <w:sz w:val="28"/>
          <w:szCs w:val="28"/>
        </w:rPr>
        <w:t>课程），其中线下课程50门，线上课程30门，线上线下混合式课程100门，虚拟仿真课程15门、社会实践课程5门。</w:t>
      </w:r>
    </w:p>
    <w:p w:rsidR="00E75E23" w:rsidRPr="00E75E23" w:rsidRDefault="00E75E23">
      <w:pPr>
        <w:spacing w:line="540" w:lineRule="exact"/>
        <w:ind w:firstLineChars="200" w:firstLine="560"/>
        <w:rPr>
          <w:rFonts w:ascii="仿宋_GB2312" w:eastAsia="仿宋_GB2312" w:hAnsi="Times New Roman"/>
          <w:sz w:val="28"/>
          <w:szCs w:val="28"/>
        </w:rPr>
      </w:pPr>
      <w:r w:rsidRPr="00E75E23">
        <w:rPr>
          <w:rFonts w:ascii="仿宋_GB2312" w:eastAsia="仿宋_GB2312" w:hAnsi="Times New Roman" w:hint="eastAsia"/>
          <w:sz w:val="28"/>
          <w:szCs w:val="28"/>
        </w:rPr>
        <w:t>（二）建设30门左右的省级一流课程，其中线下课程5门、线上课程6门、线上线下混合式课程10门、虚拟仿真课程7门、社会实践课程 2门。</w:t>
      </w:r>
    </w:p>
    <w:p w:rsidR="00E75E23" w:rsidRPr="00E75E23" w:rsidRDefault="00E75E23">
      <w:pPr>
        <w:spacing w:line="540" w:lineRule="exact"/>
        <w:ind w:firstLineChars="200" w:firstLine="560"/>
        <w:rPr>
          <w:rFonts w:ascii="仿宋_GB2312" w:eastAsia="仿宋_GB2312" w:hAnsi="Times New Roman"/>
          <w:sz w:val="28"/>
          <w:szCs w:val="28"/>
        </w:rPr>
      </w:pPr>
      <w:r w:rsidRPr="00E75E23">
        <w:rPr>
          <w:rFonts w:ascii="仿宋_GB2312" w:eastAsia="仿宋_GB2312" w:hAnsi="Times New Roman" w:hint="eastAsia"/>
          <w:sz w:val="28"/>
          <w:szCs w:val="28"/>
        </w:rPr>
        <w:t>（三）建设6门左右的国家一流课程，其中线下课程1门、线上课程1门、线上线下混合式课程3门、虚拟仿真课程 1门。</w:t>
      </w:r>
    </w:p>
    <w:p w:rsidR="00E75E23" w:rsidRPr="00E75E23" w:rsidRDefault="00E75E23">
      <w:pPr>
        <w:spacing w:line="540" w:lineRule="exact"/>
        <w:ind w:firstLineChars="200" w:firstLine="560"/>
        <w:rPr>
          <w:rFonts w:ascii="仿宋_GB2312" w:eastAsia="仿宋_GB2312" w:hAnsi="Times New Roman"/>
          <w:sz w:val="28"/>
          <w:szCs w:val="28"/>
        </w:rPr>
      </w:pPr>
      <w:r w:rsidRPr="00E75E23">
        <w:rPr>
          <w:rFonts w:ascii="仿宋_GB2312" w:eastAsia="仿宋_GB2312" w:hAnsi="Times New Roman" w:hint="eastAsia"/>
          <w:sz w:val="28"/>
          <w:szCs w:val="28"/>
        </w:rPr>
        <w:t>（四）培育一批敢于实践、勇于推进现代教育信息技术和教育教学深度融合的教学名师（团队）；培育一批课程</w:t>
      </w:r>
      <w:proofErr w:type="gramStart"/>
      <w:r w:rsidRPr="00E75E23">
        <w:rPr>
          <w:rFonts w:ascii="仿宋_GB2312" w:eastAsia="仿宋_GB2312" w:hAnsi="Times New Roman" w:hint="eastAsia"/>
          <w:sz w:val="28"/>
          <w:szCs w:val="28"/>
        </w:rPr>
        <w:t>思政优秀</w:t>
      </w:r>
      <w:proofErr w:type="gramEnd"/>
      <w:r w:rsidRPr="00E75E23">
        <w:rPr>
          <w:rFonts w:ascii="仿宋_GB2312" w:eastAsia="仿宋_GB2312" w:hAnsi="Times New Roman" w:hint="eastAsia"/>
          <w:sz w:val="28"/>
          <w:szCs w:val="28"/>
        </w:rPr>
        <w:t>教师和教学团队。</w:t>
      </w:r>
    </w:p>
    <w:p w:rsidR="00E75E23" w:rsidRPr="00E75E23" w:rsidRDefault="00E75E23">
      <w:pPr>
        <w:spacing w:line="540" w:lineRule="exact"/>
        <w:ind w:firstLineChars="200" w:firstLine="560"/>
        <w:rPr>
          <w:rFonts w:ascii="黑体" w:eastAsia="黑体" w:hAnsi="黑体"/>
          <w:sz w:val="28"/>
          <w:szCs w:val="28"/>
        </w:rPr>
      </w:pPr>
      <w:r w:rsidRPr="00E75E23">
        <w:rPr>
          <w:rFonts w:ascii="黑体" w:eastAsia="黑体" w:hAnsi="黑体" w:hint="eastAsia"/>
          <w:bCs/>
          <w:sz w:val="28"/>
          <w:szCs w:val="28"/>
        </w:rPr>
        <w:t>二、建设思路</w:t>
      </w:r>
    </w:p>
    <w:p w:rsidR="00E75E23" w:rsidRPr="00E75E23" w:rsidRDefault="00E75E23">
      <w:pPr>
        <w:spacing w:line="540" w:lineRule="exact"/>
        <w:ind w:firstLineChars="200" w:firstLine="560"/>
        <w:rPr>
          <w:rFonts w:ascii="仿宋_GB2312" w:eastAsia="仿宋_GB2312" w:hAnsi="Times New Roman"/>
          <w:sz w:val="28"/>
          <w:szCs w:val="28"/>
          <w:lang w:bidi="ar"/>
        </w:rPr>
      </w:pPr>
      <w:r w:rsidRPr="00E75E23">
        <w:rPr>
          <w:rFonts w:ascii="仿宋_GB2312" w:eastAsia="仿宋_GB2312" w:hAnsi="Times New Roman" w:hint="eastAsia"/>
          <w:sz w:val="28"/>
          <w:szCs w:val="28"/>
          <w:lang w:bidi="ar"/>
        </w:rPr>
        <w:t>依据建设目标，从学校实际出发，我校的一流课程建设按以下思路推进：</w:t>
      </w:r>
    </w:p>
    <w:p w:rsidR="00E75E23" w:rsidRPr="00E75E23" w:rsidRDefault="00E75E23">
      <w:pPr>
        <w:spacing w:line="540" w:lineRule="exact"/>
        <w:ind w:firstLineChars="200" w:firstLine="560"/>
        <w:rPr>
          <w:rFonts w:ascii="仿宋_GB2312" w:eastAsia="仿宋_GB2312" w:hAnsi="Times New Roman"/>
          <w:sz w:val="28"/>
          <w:szCs w:val="28"/>
          <w:lang w:bidi="ar"/>
        </w:rPr>
      </w:pPr>
      <w:r w:rsidRPr="00E75E23">
        <w:rPr>
          <w:rFonts w:ascii="仿宋_GB2312" w:eastAsia="仿宋_GB2312" w:hAnsi="Times New Roman" w:hint="eastAsia"/>
          <w:sz w:val="28"/>
          <w:szCs w:val="28"/>
          <w:lang w:bidi="ar"/>
        </w:rPr>
        <w:lastRenderedPageBreak/>
        <w:t>（一）重点依托一流专业开展一流课程培育；</w:t>
      </w:r>
    </w:p>
    <w:p w:rsidR="00E75E23" w:rsidRPr="00E75E23" w:rsidRDefault="00E75E23">
      <w:pPr>
        <w:spacing w:line="540" w:lineRule="exact"/>
        <w:ind w:firstLineChars="200" w:firstLine="560"/>
        <w:rPr>
          <w:rFonts w:ascii="仿宋_GB2312" w:eastAsia="仿宋_GB2312" w:hAnsi="Times New Roman"/>
          <w:sz w:val="28"/>
          <w:szCs w:val="28"/>
          <w:lang w:bidi="ar"/>
        </w:rPr>
      </w:pPr>
      <w:r w:rsidRPr="00E75E23">
        <w:rPr>
          <w:rFonts w:ascii="仿宋_GB2312" w:eastAsia="仿宋_GB2312" w:hAnsi="Times New Roman" w:hint="eastAsia"/>
          <w:sz w:val="28"/>
          <w:szCs w:val="28"/>
          <w:lang w:bidi="ar"/>
        </w:rPr>
        <w:t>（二）以“两性一度” （即增加高阶性、创新性，提高挑战度）为指引开展一流课程建设，使一流课程真正成为支撑高水平人才培养的重要载体；</w:t>
      </w:r>
    </w:p>
    <w:p w:rsidR="00E75E23" w:rsidRPr="00E75E23" w:rsidRDefault="00E75E23">
      <w:pPr>
        <w:spacing w:line="540" w:lineRule="exact"/>
        <w:ind w:firstLineChars="200" w:firstLine="560"/>
        <w:rPr>
          <w:rFonts w:ascii="仿宋_GB2312" w:eastAsia="仿宋_GB2312" w:hAnsi="Times New Roman"/>
          <w:sz w:val="28"/>
          <w:szCs w:val="28"/>
          <w:lang w:bidi="ar"/>
        </w:rPr>
      </w:pPr>
      <w:r w:rsidRPr="00E75E23">
        <w:rPr>
          <w:rFonts w:ascii="仿宋_GB2312" w:eastAsia="仿宋_GB2312" w:hAnsi="Times New Roman" w:hint="eastAsia"/>
          <w:sz w:val="28"/>
          <w:szCs w:val="28"/>
          <w:lang w:bidi="ar"/>
        </w:rPr>
        <w:t>（三）按照国家部署，按照线上、线下、线上线下混合、虚拟仿真和社会实践分类培育，根据学校课程建设基础和办学实际，重点</w:t>
      </w:r>
      <w:proofErr w:type="gramStart"/>
      <w:r w:rsidRPr="00E75E23">
        <w:rPr>
          <w:rFonts w:ascii="仿宋_GB2312" w:eastAsia="仿宋_GB2312" w:hAnsi="Times New Roman" w:hint="eastAsia"/>
          <w:sz w:val="28"/>
          <w:szCs w:val="28"/>
          <w:lang w:bidi="ar"/>
        </w:rPr>
        <w:t>突出线</w:t>
      </w:r>
      <w:proofErr w:type="gramEnd"/>
      <w:r w:rsidRPr="00E75E23">
        <w:rPr>
          <w:rFonts w:ascii="仿宋_GB2312" w:eastAsia="仿宋_GB2312" w:hAnsi="Times New Roman" w:hint="eastAsia"/>
          <w:sz w:val="28"/>
          <w:szCs w:val="28"/>
          <w:lang w:bidi="ar"/>
        </w:rPr>
        <w:t>上线下混合式课程建设；</w:t>
      </w:r>
    </w:p>
    <w:p w:rsidR="00E75E23" w:rsidRPr="00E75E23" w:rsidRDefault="00E75E23">
      <w:pPr>
        <w:spacing w:line="540" w:lineRule="exact"/>
        <w:ind w:firstLineChars="200" w:firstLine="560"/>
        <w:rPr>
          <w:rFonts w:ascii="仿宋_GB2312" w:eastAsia="仿宋_GB2312" w:hAnsi="Times New Roman"/>
          <w:sz w:val="28"/>
          <w:szCs w:val="28"/>
          <w:lang w:bidi="ar"/>
        </w:rPr>
      </w:pPr>
      <w:r w:rsidRPr="00E75E23">
        <w:rPr>
          <w:rFonts w:ascii="仿宋_GB2312" w:eastAsia="仿宋_GB2312" w:hAnsi="Times New Roman" w:hint="eastAsia"/>
          <w:sz w:val="28"/>
          <w:szCs w:val="28"/>
          <w:lang w:bidi="ar"/>
        </w:rPr>
        <w:t>（</w:t>
      </w:r>
      <w:r w:rsidRPr="00E75E23">
        <w:rPr>
          <w:rFonts w:ascii="仿宋_GB2312" w:eastAsia="仿宋_GB2312" w:hAnsi="Times New Roman" w:hint="eastAsia"/>
          <w:sz w:val="28"/>
          <w:szCs w:val="28"/>
        </w:rPr>
        <w:t>四</w:t>
      </w:r>
      <w:r w:rsidRPr="00E75E23">
        <w:rPr>
          <w:rFonts w:ascii="仿宋_GB2312" w:eastAsia="仿宋_GB2312" w:hAnsi="Times New Roman" w:hint="eastAsia"/>
          <w:sz w:val="28"/>
          <w:szCs w:val="28"/>
          <w:lang w:bidi="ar"/>
        </w:rPr>
        <w:t>）一流课程建设实行层层推进、逐步夯实与提升，以校内网络课程建设为基础，培育校级一流课程，通过校级一流课程建设，培育省级及以上一流课程；</w:t>
      </w:r>
    </w:p>
    <w:p w:rsidR="00E75E23" w:rsidRPr="00E75E23" w:rsidRDefault="00E75E23">
      <w:pPr>
        <w:spacing w:line="540" w:lineRule="exact"/>
        <w:ind w:firstLineChars="200" w:firstLine="560"/>
        <w:rPr>
          <w:rFonts w:ascii="仿宋_GB2312" w:eastAsia="仿宋_GB2312" w:hAnsi="Times New Roman"/>
          <w:sz w:val="28"/>
          <w:szCs w:val="28"/>
          <w:lang w:bidi="ar"/>
        </w:rPr>
      </w:pPr>
      <w:r w:rsidRPr="00E75E23">
        <w:rPr>
          <w:rFonts w:ascii="仿宋_GB2312" w:eastAsia="仿宋_GB2312" w:hAnsi="Times New Roman" w:hint="eastAsia"/>
          <w:sz w:val="28"/>
          <w:szCs w:val="28"/>
          <w:lang w:bidi="ar"/>
        </w:rPr>
        <w:t>（五）重视一流课程的开放共享应用水平，加强与校外知名网络课程平台的合作，在应用中培育和提升我校一流课程的质量；</w:t>
      </w:r>
    </w:p>
    <w:p w:rsidR="00E75E23" w:rsidRPr="00E75E23" w:rsidRDefault="00E75E23">
      <w:pPr>
        <w:spacing w:line="540" w:lineRule="exact"/>
        <w:ind w:firstLineChars="200" w:firstLine="560"/>
        <w:rPr>
          <w:rFonts w:ascii="仿宋_GB2312" w:eastAsia="仿宋_GB2312" w:hAnsi="Times New Roman"/>
          <w:sz w:val="28"/>
          <w:szCs w:val="28"/>
          <w:lang w:bidi="ar"/>
        </w:rPr>
      </w:pPr>
      <w:r w:rsidRPr="00E75E23">
        <w:rPr>
          <w:rFonts w:ascii="仿宋_GB2312" w:eastAsia="仿宋_GB2312" w:hAnsi="Times New Roman" w:hint="eastAsia"/>
          <w:sz w:val="28"/>
          <w:szCs w:val="28"/>
          <w:lang w:bidi="ar"/>
        </w:rPr>
        <w:t>（六）一流课程建设与“课程思政”改革同步推进，把“课程思政”改革作为一流课程建设的重要组成部分；</w:t>
      </w:r>
    </w:p>
    <w:p w:rsidR="00E75E23" w:rsidRPr="00E75E23" w:rsidRDefault="00E75E23">
      <w:pPr>
        <w:spacing w:line="540" w:lineRule="exact"/>
        <w:ind w:firstLineChars="200" w:firstLine="560"/>
        <w:rPr>
          <w:rFonts w:ascii="仿宋_GB2312" w:eastAsia="仿宋_GB2312" w:hAnsi="Times New Roman"/>
          <w:sz w:val="28"/>
          <w:szCs w:val="28"/>
          <w:lang w:bidi="ar"/>
        </w:rPr>
      </w:pPr>
      <w:r w:rsidRPr="00E75E23">
        <w:rPr>
          <w:rFonts w:ascii="仿宋_GB2312" w:eastAsia="仿宋_GB2312" w:hAnsi="Times New Roman" w:hint="eastAsia"/>
          <w:sz w:val="28"/>
          <w:szCs w:val="28"/>
          <w:lang w:bidi="ar"/>
        </w:rPr>
        <w:t>（七）彻底扭转“重立项轻建设”的现象，在业绩考核上实行“重立项，也重验收”的激励机制；同时，高度重视课程的建设和应用水平，实施“先建后评，再建再评”的课程建设模式；</w:t>
      </w:r>
    </w:p>
    <w:p w:rsidR="00E75E23" w:rsidRPr="00E75E23" w:rsidRDefault="00E75E23">
      <w:pPr>
        <w:spacing w:line="540" w:lineRule="exact"/>
        <w:ind w:firstLineChars="200" w:firstLine="560"/>
        <w:rPr>
          <w:rFonts w:ascii="仿宋_GB2312" w:eastAsia="仿宋_GB2312" w:hAnsi="Times New Roman"/>
          <w:sz w:val="28"/>
          <w:szCs w:val="28"/>
          <w:lang w:bidi="ar"/>
        </w:rPr>
      </w:pPr>
      <w:r w:rsidRPr="00E75E23">
        <w:rPr>
          <w:rFonts w:ascii="仿宋_GB2312" w:eastAsia="仿宋_GB2312" w:hAnsi="Times New Roman" w:hint="eastAsia"/>
          <w:sz w:val="28"/>
          <w:szCs w:val="28"/>
          <w:lang w:bidi="ar"/>
        </w:rPr>
        <w:t>（八）积极推动课程建设与课程改革研究相结合，增强教师课程建设能力；重视教师信息技术应用能力提升，促进信息技术与课程教学的深度融合。</w:t>
      </w:r>
    </w:p>
    <w:p w:rsidR="00E75E23" w:rsidRPr="00E75E23" w:rsidRDefault="00E75E23">
      <w:pPr>
        <w:spacing w:line="540" w:lineRule="exact"/>
        <w:ind w:firstLineChars="200" w:firstLine="560"/>
        <w:rPr>
          <w:rFonts w:ascii="黑体" w:eastAsia="黑体" w:hAnsi="黑体"/>
          <w:bCs/>
          <w:sz w:val="28"/>
          <w:szCs w:val="28"/>
        </w:rPr>
      </w:pPr>
      <w:r w:rsidRPr="00E75E23">
        <w:rPr>
          <w:rFonts w:ascii="黑体" w:eastAsia="黑体" w:hAnsi="黑体" w:hint="eastAsia"/>
          <w:sz w:val="28"/>
          <w:szCs w:val="28"/>
        </w:rPr>
        <w:t>三、</w:t>
      </w:r>
      <w:r w:rsidRPr="00E75E23">
        <w:rPr>
          <w:rFonts w:ascii="黑体" w:eastAsia="黑体" w:hAnsi="黑体" w:hint="eastAsia"/>
          <w:bCs/>
          <w:sz w:val="28"/>
          <w:szCs w:val="28"/>
        </w:rPr>
        <w:t>建设任务</w:t>
      </w:r>
    </w:p>
    <w:p w:rsidR="00E75E23" w:rsidRPr="00E75E23" w:rsidRDefault="00E75E23">
      <w:pPr>
        <w:spacing w:line="540" w:lineRule="exact"/>
        <w:ind w:firstLineChars="200" w:firstLine="562"/>
        <w:rPr>
          <w:rFonts w:ascii="仿宋_GB2312" w:eastAsia="仿宋_GB2312" w:hAnsi="Times New Roman"/>
          <w:bCs/>
          <w:sz w:val="28"/>
          <w:szCs w:val="28"/>
        </w:rPr>
      </w:pPr>
      <w:r w:rsidRPr="00E75E23">
        <w:rPr>
          <w:rFonts w:ascii="仿宋_GB2312" w:eastAsia="仿宋_GB2312" w:hAnsi="Times New Roman" w:hint="eastAsia"/>
          <w:b/>
          <w:bCs/>
          <w:sz w:val="28"/>
          <w:szCs w:val="28"/>
        </w:rPr>
        <w:t>（一）重构课程内容。</w:t>
      </w:r>
      <w:r w:rsidRPr="00E75E23">
        <w:rPr>
          <w:rFonts w:ascii="仿宋_GB2312" w:eastAsia="仿宋_GB2312" w:hAnsi="Times New Roman" w:hint="eastAsia"/>
          <w:sz w:val="28"/>
          <w:szCs w:val="28"/>
        </w:rPr>
        <w:t>以OBE 教育理念为指导，</w:t>
      </w:r>
      <w:r w:rsidRPr="00E75E23">
        <w:rPr>
          <w:rFonts w:ascii="仿宋_GB2312" w:eastAsia="仿宋_GB2312" w:hAnsi="Times New Roman" w:hint="eastAsia"/>
          <w:bCs/>
          <w:sz w:val="28"/>
          <w:szCs w:val="28"/>
        </w:rPr>
        <w:t>根据专业毕业要求和本校学生特点，</w:t>
      </w:r>
      <w:r w:rsidRPr="00E75E23">
        <w:rPr>
          <w:rFonts w:ascii="仿宋_GB2312" w:eastAsia="仿宋_GB2312" w:hAnsi="Times New Roman" w:hint="eastAsia"/>
          <w:sz w:val="28"/>
          <w:szCs w:val="28"/>
        </w:rPr>
        <w:t>修订课程教学大纲；</w:t>
      </w:r>
      <w:r w:rsidRPr="00E75E23">
        <w:rPr>
          <w:rFonts w:ascii="仿宋_GB2312" w:eastAsia="仿宋_GB2312" w:hAnsi="Times New Roman" w:hint="eastAsia"/>
          <w:bCs/>
          <w:sz w:val="28"/>
          <w:szCs w:val="28"/>
        </w:rPr>
        <w:t>以课程目标为导向，精心编排课程教学内容，充分体现价值引领、能力培养、知识传授相结合，融入“课程思政”理念，适当提高课程的难度和挑战度。</w:t>
      </w:r>
    </w:p>
    <w:p w:rsidR="00E75E23" w:rsidRPr="00E75E23" w:rsidRDefault="00E75E23">
      <w:pPr>
        <w:spacing w:line="540" w:lineRule="exact"/>
        <w:ind w:firstLineChars="200" w:firstLine="562"/>
        <w:rPr>
          <w:rFonts w:ascii="仿宋_GB2312" w:eastAsia="仿宋_GB2312" w:hAnsi="Times New Roman"/>
          <w:bCs/>
          <w:sz w:val="28"/>
          <w:szCs w:val="28"/>
        </w:rPr>
      </w:pPr>
      <w:r w:rsidRPr="00E75E23">
        <w:rPr>
          <w:rFonts w:ascii="仿宋_GB2312" w:eastAsia="仿宋_GB2312" w:hAnsi="Times New Roman" w:hint="eastAsia"/>
          <w:b/>
          <w:bCs/>
          <w:sz w:val="28"/>
          <w:szCs w:val="28"/>
        </w:rPr>
        <w:lastRenderedPageBreak/>
        <w:t>（二）改革教学方法。</w:t>
      </w:r>
      <w:r w:rsidRPr="00E75E23">
        <w:rPr>
          <w:rFonts w:ascii="仿宋_GB2312" w:eastAsia="仿宋_GB2312" w:hAnsi="Times New Roman" w:hint="eastAsia"/>
          <w:bCs/>
          <w:sz w:val="28"/>
          <w:szCs w:val="28"/>
        </w:rPr>
        <w:t>积极实施研究型教学，以互动式、启发式、讨论式、探究式、实践式的教学方法引导学生主动参与教学及其实践，重视组织高质量的课堂讨论；注重教学与实践和研究的结合，努力培养学生主动学习、深入思考、准确表达的能力。</w:t>
      </w:r>
    </w:p>
    <w:p w:rsidR="00E75E23" w:rsidRPr="00E75E23" w:rsidRDefault="00E75E23">
      <w:pPr>
        <w:spacing w:line="540" w:lineRule="exact"/>
        <w:ind w:firstLineChars="200" w:firstLine="562"/>
        <w:rPr>
          <w:rFonts w:ascii="仿宋_GB2312" w:eastAsia="仿宋_GB2312" w:hAnsi="Times New Roman"/>
          <w:sz w:val="28"/>
          <w:szCs w:val="28"/>
        </w:rPr>
      </w:pPr>
      <w:r w:rsidRPr="00E75E23">
        <w:rPr>
          <w:rFonts w:ascii="仿宋_GB2312" w:eastAsia="仿宋_GB2312" w:hAnsi="Times New Roman" w:hint="eastAsia"/>
          <w:b/>
          <w:bCs/>
          <w:sz w:val="28"/>
          <w:szCs w:val="28"/>
        </w:rPr>
        <w:t>（三）融合信息技术。</w:t>
      </w:r>
      <w:r w:rsidRPr="00E75E23">
        <w:rPr>
          <w:rFonts w:ascii="仿宋_GB2312" w:eastAsia="仿宋_GB2312" w:hAnsi="Times New Roman" w:hint="eastAsia"/>
          <w:bCs/>
          <w:sz w:val="28"/>
          <w:szCs w:val="28"/>
        </w:rPr>
        <w:t>以教学改革需求为导向，打造智慧学习环境，利用网络教学工具 （中国大学 MOOC 平台、学习通、雨课堂等）开展翻转课堂及线上线下混合式教学（</w:t>
      </w:r>
      <w:proofErr w:type="gramStart"/>
      <w:r w:rsidRPr="00E75E23">
        <w:rPr>
          <w:rFonts w:ascii="仿宋_GB2312" w:eastAsia="仿宋_GB2312" w:hAnsi="Times New Roman" w:hint="eastAsia"/>
          <w:bCs/>
          <w:sz w:val="28"/>
          <w:szCs w:val="28"/>
        </w:rPr>
        <w:t>申报线</w:t>
      </w:r>
      <w:proofErr w:type="gramEnd"/>
      <w:r w:rsidRPr="00E75E23">
        <w:rPr>
          <w:rFonts w:ascii="仿宋_GB2312" w:eastAsia="仿宋_GB2312" w:hAnsi="Times New Roman" w:hint="eastAsia"/>
          <w:bCs/>
          <w:sz w:val="28"/>
          <w:szCs w:val="28"/>
        </w:rPr>
        <w:t>上“金课”、线上线下混合式“金课”、虚拟仿真“金课”类型的，开展翻转课堂及线上线下混合式教学作为一项基本要求）。</w:t>
      </w:r>
      <w:r w:rsidRPr="00E75E23">
        <w:rPr>
          <w:rFonts w:ascii="仿宋_GB2312" w:eastAsia="仿宋_GB2312" w:hAnsi="Times New Roman" w:hint="eastAsia"/>
          <w:sz w:val="28"/>
          <w:szCs w:val="28"/>
        </w:rPr>
        <w:t>做好教师的信息技术培训工作，努力</w:t>
      </w:r>
      <w:r w:rsidRPr="00E75E23">
        <w:rPr>
          <w:rFonts w:ascii="仿宋_GB2312" w:eastAsia="仿宋_GB2312" w:hAnsi="Times New Roman" w:hint="eastAsia"/>
          <w:bCs/>
          <w:sz w:val="28"/>
          <w:szCs w:val="28"/>
        </w:rPr>
        <w:t>提升优质课程的应用水平。</w:t>
      </w:r>
    </w:p>
    <w:p w:rsidR="00E75E23" w:rsidRPr="00E75E23" w:rsidRDefault="00E75E23">
      <w:pPr>
        <w:spacing w:line="540" w:lineRule="exact"/>
        <w:ind w:firstLineChars="200" w:firstLine="562"/>
        <w:rPr>
          <w:rFonts w:ascii="仿宋_GB2312" w:eastAsia="仿宋_GB2312" w:hAnsi="Times New Roman"/>
          <w:bCs/>
          <w:sz w:val="28"/>
          <w:szCs w:val="28"/>
        </w:rPr>
      </w:pPr>
      <w:r w:rsidRPr="00E75E23">
        <w:rPr>
          <w:rFonts w:ascii="仿宋_GB2312" w:eastAsia="仿宋_GB2312" w:hAnsi="Times New Roman" w:hint="eastAsia"/>
          <w:b/>
          <w:bCs/>
          <w:sz w:val="28"/>
          <w:szCs w:val="28"/>
        </w:rPr>
        <w:t>（四）改革考核方式。</w:t>
      </w:r>
      <w:r w:rsidRPr="00E75E23">
        <w:rPr>
          <w:rFonts w:ascii="仿宋_GB2312" w:eastAsia="仿宋_GB2312" w:hAnsi="Times New Roman" w:hint="eastAsia"/>
          <w:bCs/>
          <w:sz w:val="28"/>
          <w:szCs w:val="28"/>
        </w:rPr>
        <w:t>加强学习过程管理，强化过程考核。倡导以目标达成为导向的课程考核内容与方式改革，实现专业课程考核的多样化，努力提高课程考核质量。</w:t>
      </w:r>
    </w:p>
    <w:p w:rsidR="00E75E23" w:rsidRPr="00E75E23" w:rsidRDefault="00E75E23">
      <w:pPr>
        <w:spacing w:line="540" w:lineRule="exact"/>
        <w:ind w:firstLineChars="200" w:firstLine="562"/>
        <w:rPr>
          <w:rFonts w:ascii="仿宋_GB2312" w:eastAsia="仿宋_GB2312" w:hAnsi="Times New Roman"/>
          <w:sz w:val="28"/>
          <w:szCs w:val="28"/>
        </w:rPr>
      </w:pPr>
      <w:r w:rsidRPr="00E75E23">
        <w:rPr>
          <w:rFonts w:ascii="仿宋_GB2312" w:eastAsia="仿宋_GB2312" w:hAnsi="Times New Roman" w:hint="eastAsia"/>
          <w:b/>
          <w:bCs/>
          <w:sz w:val="28"/>
          <w:szCs w:val="28"/>
        </w:rPr>
        <w:t>（五）建设 “课程思政”示范课。</w:t>
      </w:r>
      <w:r w:rsidRPr="00E75E23">
        <w:rPr>
          <w:rFonts w:ascii="仿宋_GB2312" w:eastAsia="仿宋_GB2312" w:hAnsi="Times New Roman" w:hint="eastAsia"/>
          <w:bCs/>
          <w:sz w:val="28"/>
          <w:szCs w:val="28"/>
        </w:rPr>
        <w:t>把</w:t>
      </w:r>
      <w:r w:rsidRPr="00E75E23">
        <w:rPr>
          <w:rFonts w:ascii="仿宋_GB2312" w:eastAsia="仿宋_GB2312" w:hAnsi="Times New Roman" w:hint="eastAsia"/>
          <w:sz w:val="28"/>
          <w:szCs w:val="28"/>
        </w:rPr>
        <w:t>“课程思政”改革纳入到一流课程建设中来，建设一批校级“课程思政”示范课程。教学大纲综合素质培养的目标与内容，体现课程思政要求。深入挖掘课程的思想政治教育元素，把井冈山精神融入堂课。</w:t>
      </w:r>
    </w:p>
    <w:p w:rsidR="00E75E23" w:rsidRPr="00E75E23" w:rsidRDefault="00E75E23">
      <w:pPr>
        <w:spacing w:line="540" w:lineRule="exact"/>
        <w:ind w:firstLineChars="200" w:firstLine="562"/>
        <w:rPr>
          <w:rFonts w:ascii="仿宋_GB2312" w:eastAsia="仿宋_GB2312" w:hAnsi="Times New Roman"/>
          <w:sz w:val="28"/>
          <w:szCs w:val="28"/>
        </w:rPr>
      </w:pPr>
      <w:r w:rsidRPr="00E75E23">
        <w:rPr>
          <w:rFonts w:ascii="仿宋_GB2312" w:eastAsia="仿宋_GB2312" w:hAnsi="Times New Roman" w:hint="eastAsia"/>
          <w:b/>
          <w:sz w:val="28"/>
          <w:szCs w:val="28"/>
        </w:rPr>
        <w:t>（六）打造课程团队。</w:t>
      </w:r>
      <w:r w:rsidRPr="00E75E23">
        <w:rPr>
          <w:rFonts w:ascii="仿宋_GB2312" w:eastAsia="仿宋_GB2312" w:hAnsi="Times New Roman" w:hint="eastAsia"/>
          <w:sz w:val="28"/>
          <w:szCs w:val="28"/>
        </w:rPr>
        <w:t>省级及以上一流培育课程实施“领衔教授+课程建设负责</w:t>
      </w:r>
      <w:proofErr w:type="gramStart"/>
      <w:r w:rsidRPr="00E75E23">
        <w:rPr>
          <w:rFonts w:ascii="仿宋_GB2312" w:eastAsia="仿宋_GB2312" w:hAnsi="Times New Roman" w:hint="eastAsia"/>
          <w:sz w:val="28"/>
          <w:szCs w:val="28"/>
        </w:rPr>
        <w:t>人制</w:t>
      </w:r>
      <w:proofErr w:type="gramEnd"/>
      <w:r w:rsidRPr="00E75E23">
        <w:rPr>
          <w:rFonts w:ascii="仿宋_GB2312" w:eastAsia="仿宋_GB2312" w:hAnsi="Times New Roman" w:hint="eastAsia"/>
          <w:sz w:val="28"/>
          <w:szCs w:val="28"/>
        </w:rPr>
        <w:t>”的课程团队发展新模式。领衔教授主要负责课程建设的总体规划；课程建设负责人主要负责课程建设日常工作的组织和实施。两个负责人分工合作，密切配合，共同做好课程建设，共享课程建设成果。课程团队成员还可纳入行业较有影响力的企事业单位、政府部门专家等。</w:t>
      </w:r>
    </w:p>
    <w:p w:rsidR="00E75E23" w:rsidRPr="00E75E23" w:rsidRDefault="00E75E23">
      <w:pPr>
        <w:spacing w:line="540" w:lineRule="exact"/>
        <w:ind w:firstLineChars="200" w:firstLine="562"/>
        <w:rPr>
          <w:rFonts w:ascii="仿宋_GB2312" w:eastAsia="仿宋_GB2312" w:hAnsi="Times New Roman"/>
          <w:sz w:val="28"/>
          <w:szCs w:val="28"/>
        </w:rPr>
      </w:pPr>
      <w:r w:rsidRPr="00E75E23">
        <w:rPr>
          <w:rFonts w:ascii="仿宋_GB2312" w:eastAsia="仿宋_GB2312" w:hAnsi="Times New Roman" w:hint="eastAsia"/>
          <w:b/>
          <w:sz w:val="28"/>
          <w:szCs w:val="28"/>
        </w:rPr>
        <w:t>（七）遴选和建设教材。</w:t>
      </w:r>
      <w:r w:rsidRPr="00E75E23">
        <w:rPr>
          <w:rFonts w:ascii="仿宋_GB2312" w:eastAsia="仿宋_GB2312" w:hAnsi="Times New Roman" w:hint="eastAsia"/>
          <w:sz w:val="28"/>
          <w:szCs w:val="28"/>
        </w:rPr>
        <w:t>一流课程的教材，主讲教师可以自编，也可以选用国家级优秀教材和国外高水平原版教材。鼓励教师与行业</w:t>
      </w:r>
      <w:r w:rsidRPr="00E75E23">
        <w:rPr>
          <w:rFonts w:ascii="仿宋_GB2312" w:eastAsia="仿宋_GB2312" w:hAnsi="Times New Roman" w:hint="eastAsia"/>
          <w:sz w:val="28"/>
          <w:szCs w:val="28"/>
        </w:rPr>
        <w:lastRenderedPageBreak/>
        <w:t>企业专家合作自编应用类课程教材建设或选用一体化设计与多种媒体有机结合的立体化教材。</w:t>
      </w:r>
    </w:p>
    <w:p w:rsidR="00E75E23" w:rsidRPr="00E75E23" w:rsidRDefault="00E75E23">
      <w:pPr>
        <w:spacing w:line="540" w:lineRule="exact"/>
        <w:ind w:firstLineChars="200" w:firstLine="562"/>
        <w:rPr>
          <w:rFonts w:ascii="仿宋_GB2312" w:eastAsia="仿宋_GB2312" w:hAnsi="Times New Roman"/>
          <w:sz w:val="28"/>
          <w:szCs w:val="28"/>
        </w:rPr>
      </w:pPr>
      <w:r w:rsidRPr="00E75E23">
        <w:rPr>
          <w:rFonts w:ascii="仿宋_GB2312" w:eastAsia="仿宋_GB2312" w:hAnsi="Times New Roman" w:hint="eastAsia"/>
          <w:b/>
          <w:bCs/>
          <w:sz w:val="28"/>
          <w:szCs w:val="28"/>
        </w:rPr>
        <w:t>（八）强化课程教学研究。</w:t>
      </w:r>
      <w:r w:rsidRPr="00E75E23">
        <w:rPr>
          <w:rFonts w:ascii="仿宋_GB2312" w:eastAsia="仿宋_GB2312" w:hAnsi="Times New Roman" w:hint="eastAsia"/>
          <w:sz w:val="28"/>
          <w:szCs w:val="28"/>
        </w:rPr>
        <w:t>一流课程要持续开展课程建设情况调研，收集学生反馈意见，及时调整课程建设内容和教学方法手段。积极申报基于课程建设的教学研究课程，总结课程建设经验，发挥示范引领作用。建设周期内，每门课程至少开设 1 节公开课，完成一项校级及以上教改课题，研究成果须提供研究报告、教学大纲、经典教学案例和教研论文等。</w:t>
      </w:r>
    </w:p>
    <w:p w:rsidR="00E75E23" w:rsidRPr="00E75E23" w:rsidRDefault="00E75E23">
      <w:pPr>
        <w:spacing w:line="540" w:lineRule="exact"/>
        <w:ind w:firstLineChars="200" w:firstLine="560"/>
        <w:rPr>
          <w:rFonts w:ascii="黑体" w:eastAsia="黑体" w:hAnsi="黑体"/>
          <w:sz w:val="28"/>
          <w:szCs w:val="28"/>
        </w:rPr>
      </w:pPr>
      <w:r w:rsidRPr="00E75E23">
        <w:rPr>
          <w:rFonts w:ascii="黑体" w:eastAsia="黑体" w:hAnsi="黑体" w:hint="eastAsia"/>
          <w:sz w:val="28"/>
          <w:szCs w:val="28"/>
        </w:rPr>
        <w:t>四、申报要求</w:t>
      </w:r>
    </w:p>
    <w:p w:rsidR="00E75E23" w:rsidRPr="00E75E23" w:rsidRDefault="00E75E23">
      <w:pPr>
        <w:spacing w:line="540" w:lineRule="exact"/>
        <w:ind w:firstLineChars="200" w:firstLine="560"/>
        <w:rPr>
          <w:rFonts w:ascii="仿宋_GB2312" w:eastAsia="仿宋_GB2312" w:hAnsi="Times New Roman"/>
          <w:sz w:val="28"/>
          <w:szCs w:val="28"/>
        </w:rPr>
      </w:pPr>
      <w:r w:rsidRPr="00E75E23">
        <w:rPr>
          <w:rFonts w:ascii="仿宋_GB2312" w:eastAsia="仿宋_GB2312" w:hAnsi="Times New Roman" w:hint="eastAsia"/>
          <w:sz w:val="28"/>
          <w:szCs w:val="28"/>
        </w:rPr>
        <w:t>（一）申报条件</w:t>
      </w:r>
    </w:p>
    <w:p w:rsidR="00E75E23" w:rsidRPr="00E75E23" w:rsidRDefault="00E75E23">
      <w:pPr>
        <w:spacing w:line="540" w:lineRule="exact"/>
        <w:ind w:firstLineChars="200" w:firstLine="560"/>
        <w:rPr>
          <w:rFonts w:ascii="仿宋_GB2312" w:eastAsia="仿宋_GB2312" w:hAnsi="Times New Roman"/>
          <w:sz w:val="28"/>
          <w:szCs w:val="28"/>
        </w:rPr>
      </w:pPr>
      <w:r w:rsidRPr="00E75E23">
        <w:rPr>
          <w:rFonts w:ascii="仿宋_GB2312" w:eastAsia="仿宋_GB2312" w:hAnsi="Times New Roman" w:hint="eastAsia"/>
          <w:sz w:val="28"/>
          <w:szCs w:val="28"/>
        </w:rPr>
        <w:t>1. 申报</w:t>
      </w:r>
      <w:proofErr w:type="gramStart"/>
      <w:r w:rsidRPr="00E75E23">
        <w:rPr>
          <w:rFonts w:ascii="仿宋_GB2312" w:eastAsia="仿宋_GB2312" w:hAnsi="Times New Roman" w:hint="eastAsia"/>
          <w:sz w:val="28"/>
          <w:szCs w:val="28"/>
        </w:rPr>
        <w:t>课程需已列入</w:t>
      </w:r>
      <w:proofErr w:type="gramEnd"/>
      <w:r w:rsidRPr="00E75E23">
        <w:rPr>
          <w:rFonts w:ascii="仿宋_GB2312" w:eastAsia="仿宋_GB2312" w:hAnsi="Times New Roman" w:hint="eastAsia"/>
          <w:sz w:val="28"/>
          <w:szCs w:val="28"/>
        </w:rPr>
        <w:t>本科专业人才培养方案，有完整的教学大纲和授课计划；</w:t>
      </w:r>
    </w:p>
    <w:p w:rsidR="00E75E23" w:rsidRPr="00E75E23" w:rsidRDefault="00E75E23">
      <w:pPr>
        <w:spacing w:line="540" w:lineRule="exact"/>
        <w:ind w:firstLineChars="200" w:firstLine="560"/>
        <w:rPr>
          <w:rFonts w:ascii="仿宋_GB2312" w:eastAsia="仿宋_GB2312" w:hAnsi="Times New Roman"/>
          <w:sz w:val="28"/>
          <w:szCs w:val="28"/>
        </w:rPr>
      </w:pPr>
      <w:r w:rsidRPr="00E75E23">
        <w:rPr>
          <w:rFonts w:ascii="仿宋_GB2312" w:eastAsia="仿宋_GB2312" w:hAnsi="Times New Roman" w:hint="eastAsia"/>
          <w:sz w:val="28"/>
          <w:szCs w:val="28"/>
        </w:rPr>
        <w:t>2. 课程负责人须为学校在编在岗教师，且一般应具有副高及以上专业技术职称（校级培育课程可放宽到博士学位+中级职称）；</w:t>
      </w:r>
    </w:p>
    <w:p w:rsidR="00E75E23" w:rsidRPr="00E75E23" w:rsidRDefault="00E75E23">
      <w:pPr>
        <w:spacing w:line="540" w:lineRule="exact"/>
        <w:ind w:firstLineChars="200" w:firstLine="560"/>
        <w:rPr>
          <w:rFonts w:ascii="仿宋_GB2312" w:eastAsia="仿宋_GB2312" w:hAnsi="Times New Roman"/>
          <w:sz w:val="28"/>
          <w:szCs w:val="28"/>
        </w:rPr>
      </w:pPr>
      <w:r w:rsidRPr="00E75E23">
        <w:rPr>
          <w:rFonts w:ascii="仿宋_GB2312" w:eastAsia="仿宋_GB2312" w:hAnsi="Times New Roman" w:hint="eastAsia"/>
          <w:sz w:val="28"/>
          <w:szCs w:val="28"/>
        </w:rPr>
        <w:t>3. 课程团队具有良好的师德师风、先进的课程建设理念、丰富的教育教学经验、科学的教育教学方法。</w:t>
      </w:r>
    </w:p>
    <w:p w:rsidR="00E75E23" w:rsidRPr="00E75E23" w:rsidRDefault="00E75E23">
      <w:pPr>
        <w:spacing w:line="540" w:lineRule="exact"/>
        <w:ind w:firstLineChars="200" w:firstLine="560"/>
        <w:rPr>
          <w:rFonts w:ascii="仿宋_GB2312" w:eastAsia="仿宋_GB2312" w:hAnsi="Times New Roman"/>
          <w:sz w:val="28"/>
          <w:szCs w:val="28"/>
        </w:rPr>
      </w:pPr>
      <w:r w:rsidRPr="00E75E23">
        <w:rPr>
          <w:rFonts w:ascii="仿宋_GB2312" w:eastAsia="仿宋_GB2312" w:hAnsi="Times New Roman" w:hint="eastAsia"/>
          <w:sz w:val="28"/>
          <w:szCs w:val="28"/>
        </w:rPr>
        <w:t>（二）申报课程</w:t>
      </w:r>
    </w:p>
    <w:p w:rsidR="00E75E23" w:rsidRPr="00E75E23" w:rsidRDefault="00E75E23">
      <w:pPr>
        <w:spacing w:line="540" w:lineRule="exact"/>
        <w:ind w:firstLineChars="200" w:firstLine="560"/>
        <w:rPr>
          <w:rFonts w:ascii="仿宋_GB2312" w:eastAsia="仿宋_GB2312" w:hAnsi="Times New Roman"/>
          <w:sz w:val="28"/>
          <w:szCs w:val="28"/>
        </w:rPr>
      </w:pPr>
      <w:r w:rsidRPr="00E75E23">
        <w:rPr>
          <w:rFonts w:ascii="仿宋_GB2312" w:eastAsia="仿宋_GB2312" w:hAnsi="Times New Roman" w:hint="eastAsia"/>
          <w:sz w:val="28"/>
          <w:szCs w:val="28"/>
        </w:rPr>
        <w:t>受益面大的公共必修课程、学科基础课程和专业核心课程必须要申报一流课程建设项目，鼓励基础好、有特色的其他类课程申报一流课程建设项目。</w:t>
      </w:r>
    </w:p>
    <w:p w:rsidR="00E75E23" w:rsidRPr="00E75E23" w:rsidRDefault="00E75E23">
      <w:pPr>
        <w:spacing w:line="540" w:lineRule="exact"/>
        <w:ind w:firstLineChars="200" w:firstLine="560"/>
        <w:rPr>
          <w:rFonts w:ascii="仿宋_GB2312" w:eastAsia="仿宋_GB2312" w:hAnsi="Times New Roman"/>
          <w:sz w:val="28"/>
          <w:szCs w:val="28"/>
        </w:rPr>
      </w:pPr>
      <w:r w:rsidRPr="00E75E23">
        <w:rPr>
          <w:rFonts w:ascii="仿宋_GB2312" w:eastAsia="仿宋_GB2312" w:hAnsi="Times New Roman" w:hint="eastAsia"/>
          <w:sz w:val="28"/>
          <w:szCs w:val="28"/>
        </w:rPr>
        <w:t>（三）建设周期：三年。</w:t>
      </w:r>
    </w:p>
    <w:p w:rsidR="00E75E23" w:rsidRPr="00E75E23" w:rsidRDefault="00E75E23">
      <w:pPr>
        <w:spacing w:line="540" w:lineRule="exact"/>
        <w:ind w:firstLineChars="200" w:firstLine="560"/>
        <w:rPr>
          <w:rFonts w:ascii="黑体" w:eastAsia="黑体" w:hAnsi="黑体"/>
          <w:sz w:val="28"/>
          <w:szCs w:val="28"/>
        </w:rPr>
      </w:pPr>
      <w:r w:rsidRPr="00E75E23">
        <w:rPr>
          <w:rFonts w:ascii="黑体" w:eastAsia="黑体" w:hAnsi="黑体" w:hint="eastAsia"/>
          <w:sz w:val="28"/>
          <w:szCs w:val="28"/>
        </w:rPr>
        <w:t>五、</w:t>
      </w:r>
      <w:r w:rsidRPr="00E75E23">
        <w:rPr>
          <w:rFonts w:ascii="黑体" w:eastAsia="黑体" w:hAnsi="黑体" w:hint="eastAsia"/>
          <w:bCs/>
          <w:sz w:val="28"/>
          <w:szCs w:val="28"/>
        </w:rPr>
        <w:t>认定（评审）标准</w:t>
      </w:r>
    </w:p>
    <w:p w:rsidR="00E75E23" w:rsidRPr="00E75E23" w:rsidRDefault="00E75E23">
      <w:pPr>
        <w:spacing w:line="540" w:lineRule="exact"/>
        <w:ind w:firstLineChars="200" w:firstLine="560"/>
        <w:rPr>
          <w:rFonts w:ascii="仿宋_GB2312" w:eastAsia="仿宋_GB2312" w:hAnsi="Times New Roman"/>
          <w:sz w:val="28"/>
          <w:szCs w:val="28"/>
        </w:rPr>
      </w:pPr>
      <w:proofErr w:type="gramStart"/>
      <w:r w:rsidRPr="00E75E23">
        <w:rPr>
          <w:rFonts w:ascii="仿宋_GB2312" w:eastAsia="仿宋_GB2312" w:hAnsi="Times New Roman" w:hint="eastAsia"/>
          <w:sz w:val="28"/>
          <w:szCs w:val="28"/>
        </w:rPr>
        <w:t>见相关</w:t>
      </w:r>
      <w:proofErr w:type="gramEnd"/>
      <w:r w:rsidRPr="00E75E23">
        <w:rPr>
          <w:rFonts w:ascii="仿宋_GB2312" w:eastAsia="仿宋_GB2312" w:hAnsi="Times New Roman" w:hint="eastAsia"/>
          <w:sz w:val="28"/>
          <w:szCs w:val="28"/>
        </w:rPr>
        <w:t>附件。</w:t>
      </w:r>
    </w:p>
    <w:p w:rsidR="00E75E23" w:rsidRPr="00E75E23" w:rsidRDefault="00E75E23">
      <w:pPr>
        <w:spacing w:line="540" w:lineRule="exact"/>
        <w:ind w:firstLineChars="200" w:firstLine="560"/>
        <w:rPr>
          <w:rFonts w:ascii="黑体" w:eastAsia="黑体" w:hAnsi="黑体"/>
          <w:bCs/>
          <w:sz w:val="28"/>
          <w:szCs w:val="28"/>
        </w:rPr>
      </w:pPr>
      <w:r w:rsidRPr="00E75E23">
        <w:rPr>
          <w:rFonts w:ascii="黑体" w:eastAsia="黑体" w:hAnsi="黑体" w:hint="eastAsia"/>
          <w:bCs/>
          <w:sz w:val="28"/>
          <w:szCs w:val="28"/>
        </w:rPr>
        <w:t>六、保障措施</w:t>
      </w:r>
    </w:p>
    <w:p w:rsidR="00E75E23" w:rsidRPr="00E75E23" w:rsidRDefault="00E75E23">
      <w:pPr>
        <w:spacing w:line="540" w:lineRule="exact"/>
        <w:ind w:firstLineChars="200" w:firstLine="562"/>
        <w:rPr>
          <w:rFonts w:ascii="仿宋_GB2312" w:eastAsia="仿宋_GB2312" w:hAnsi="Times New Roman"/>
          <w:b/>
          <w:bCs/>
          <w:sz w:val="28"/>
          <w:szCs w:val="28"/>
        </w:rPr>
      </w:pPr>
      <w:r w:rsidRPr="00E75E23">
        <w:rPr>
          <w:rFonts w:ascii="仿宋_GB2312" w:eastAsia="仿宋_GB2312" w:hAnsi="Times New Roman" w:hint="eastAsia"/>
          <w:b/>
          <w:bCs/>
          <w:sz w:val="28"/>
          <w:szCs w:val="28"/>
        </w:rPr>
        <w:t>（一）组织保障</w:t>
      </w:r>
    </w:p>
    <w:p w:rsidR="00E75E23" w:rsidRPr="00E75E23" w:rsidRDefault="00E75E23">
      <w:pPr>
        <w:spacing w:line="540" w:lineRule="exact"/>
        <w:ind w:firstLineChars="200" w:firstLine="560"/>
        <w:rPr>
          <w:rFonts w:ascii="仿宋_GB2312" w:eastAsia="仿宋_GB2312" w:hAnsi="Times New Roman"/>
          <w:sz w:val="28"/>
          <w:szCs w:val="28"/>
        </w:rPr>
      </w:pPr>
      <w:r w:rsidRPr="00E75E23">
        <w:rPr>
          <w:rFonts w:ascii="仿宋_GB2312" w:eastAsia="仿宋_GB2312" w:hAnsi="Times New Roman" w:hint="eastAsia"/>
          <w:sz w:val="28"/>
          <w:szCs w:val="28"/>
        </w:rPr>
        <w:lastRenderedPageBreak/>
        <w:t>1. 一流课程建设工作由教务处统筹协调并牵头负责，相关部门密切配合，具体分工如下：</w:t>
      </w:r>
    </w:p>
    <w:p w:rsidR="00E75E23" w:rsidRPr="00E75E23" w:rsidRDefault="00E75E23">
      <w:pPr>
        <w:spacing w:line="540" w:lineRule="exact"/>
        <w:ind w:firstLineChars="200" w:firstLine="560"/>
        <w:rPr>
          <w:rFonts w:ascii="仿宋_GB2312" w:eastAsia="仿宋_GB2312" w:hAnsi="Times New Roman"/>
          <w:sz w:val="28"/>
          <w:szCs w:val="28"/>
        </w:rPr>
      </w:pPr>
      <w:r w:rsidRPr="00E75E23">
        <w:rPr>
          <w:rFonts w:ascii="仿宋_GB2312" w:eastAsia="仿宋_GB2312" w:hAnsi="Times New Roman" w:hint="eastAsia"/>
          <w:sz w:val="28"/>
          <w:szCs w:val="28"/>
        </w:rPr>
        <w:t>（1）线下课程、线上课程、线上线下混合课程、虚拟仿真课程建设由教务处负责；</w:t>
      </w:r>
    </w:p>
    <w:p w:rsidR="00E75E23" w:rsidRPr="00E75E23" w:rsidRDefault="00E75E23">
      <w:pPr>
        <w:spacing w:line="540" w:lineRule="exact"/>
        <w:ind w:firstLineChars="200" w:firstLine="560"/>
        <w:rPr>
          <w:rFonts w:ascii="仿宋_GB2312" w:eastAsia="仿宋_GB2312" w:hAnsi="Times New Roman"/>
          <w:sz w:val="28"/>
          <w:szCs w:val="28"/>
        </w:rPr>
      </w:pPr>
      <w:r w:rsidRPr="00E75E23">
        <w:rPr>
          <w:rFonts w:ascii="仿宋_GB2312" w:eastAsia="仿宋_GB2312" w:hAnsi="Times New Roman" w:hint="eastAsia"/>
          <w:sz w:val="28"/>
          <w:szCs w:val="28"/>
        </w:rPr>
        <w:t>（2）创新创业类社会实践课程建设（包含“青年红色筑梦之旅”活动和“互联网+”大赛转化和培育的社会实践课程）由教务处指导、创新创业学院具体负责，其它社会实践课程建设由教务处负责。</w:t>
      </w:r>
    </w:p>
    <w:p w:rsidR="00E75E23" w:rsidRPr="00E75E23" w:rsidRDefault="00E75E23">
      <w:pPr>
        <w:spacing w:line="540" w:lineRule="exact"/>
        <w:ind w:firstLineChars="200" w:firstLine="560"/>
        <w:rPr>
          <w:rFonts w:ascii="仿宋_GB2312" w:eastAsia="仿宋_GB2312" w:hAnsi="Times New Roman"/>
          <w:sz w:val="28"/>
          <w:szCs w:val="28"/>
        </w:rPr>
      </w:pPr>
      <w:r w:rsidRPr="00E75E23">
        <w:rPr>
          <w:rFonts w:ascii="仿宋_GB2312" w:eastAsia="仿宋_GB2312" w:hAnsi="Times New Roman" w:hint="eastAsia"/>
          <w:sz w:val="28"/>
          <w:szCs w:val="28"/>
        </w:rPr>
        <w:t>2. 一流课程建设工作涉及教学资源平台的购买和建设由网络信息中心具体实施，日常使用与管理由教务处负责。</w:t>
      </w:r>
    </w:p>
    <w:p w:rsidR="00E75E23" w:rsidRPr="00E75E23" w:rsidRDefault="00E75E23">
      <w:pPr>
        <w:spacing w:line="540" w:lineRule="exact"/>
        <w:ind w:firstLineChars="200" w:firstLine="560"/>
        <w:rPr>
          <w:rFonts w:ascii="仿宋_GB2312" w:eastAsia="仿宋_GB2312" w:hAnsi="Times New Roman"/>
          <w:sz w:val="28"/>
          <w:szCs w:val="28"/>
        </w:rPr>
      </w:pPr>
      <w:r w:rsidRPr="00E75E23">
        <w:rPr>
          <w:rFonts w:ascii="仿宋_GB2312" w:eastAsia="仿宋_GB2312" w:hAnsi="Times New Roman" w:hint="eastAsia"/>
          <w:sz w:val="28"/>
          <w:szCs w:val="28"/>
        </w:rPr>
        <w:t>3. 一流课程建设相关培训工作由教务处和教师教学发展中心共同负责实施。</w:t>
      </w:r>
    </w:p>
    <w:p w:rsidR="00E75E23" w:rsidRPr="00E75E23" w:rsidRDefault="00E75E23">
      <w:pPr>
        <w:spacing w:line="540" w:lineRule="exact"/>
        <w:ind w:firstLineChars="200" w:firstLine="562"/>
        <w:rPr>
          <w:rFonts w:ascii="仿宋_GB2312" w:eastAsia="仿宋_GB2312" w:hAnsi="Times New Roman"/>
          <w:b/>
          <w:bCs/>
          <w:sz w:val="28"/>
          <w:szCs w:val="28"/>
        </w:rPr>
      </w:pPr>
      <w:r w:rsidRPr="00E75E23">
        <w:rPr>
          <w:rFonts w:ascii="仿宋_GB2312" w:eastAsia="仿宋_GB2312" w:hAnsi="Times New Roman" w:hint="eastAsia"/>
          <w:b/>
          <w:bCs/>
          <w:sz w:val="28"/>
          <w:szCs w:val="28"/>
        </w:rPr>
        <w:t>（二）平台保障</w:t>
      </w:r>
    </w:p>
    <w:p w:rsidR="00E75E23" w:rsidRPr="00E75E23" w:rsidRDefault="00E75E23">
      <w:pPr>
        <w:spacing w:line="540" w:lineRule="exact"/>
        <w:ind w:firstLineChars="200" w:firstLine="560"/>
        <w:rPr>
          <w:rFonts w:ascii="仿宋_GB2312" w:eastAsia="仿宋_GB2312" w:hAnsi="Times New Roman"/>
          <w:sz w:val="28"/>
          <w:szCs w:val="28"/>
        </w:rPr>
      </w:pPr>
      <w:r w:rsidRPr="00E75E23">
        <w:rPr>
          <w:rFonts w:ascii="仿宋_GB2312" w:eastAsia="仿宋_GB2312" w:hAnsi="Times New Roman" w:hint="eastAsia"/>
          <w:sz w:val="28"/>
          <w:szCs w:val="28"/>
        </w:rPr>
        <w:t>1. 网络课程、线上课程、线下课程（指教学文档）、社会实践课程等建设工作主要依托</w:t>
      </w:r>
      <w:proofErr w:type="gramStart"/>
      <w:r w:rsidRPr="00E75E23">
        <w:rPr>
          <w:rFonts w:ascii="仿宋_GB2312" w:eastAsia="仿宋_GB2312" w:hAnsi="Times New Roman" w:hint="eastAsia"/>
          <w:sz w:val="28"/>
          <w:szCs w:val="28"/>
        </w:rPr>
        <w:t>超星泛雅教学</w:t>
      </w:r>
      <w:proofErr w:type="gramEnd"/>
      <w:r w:rsidRPr="00E75E23">
        <w:rPr>
          <w:rFonts w:ascii="仿宋_GB2312" w:eastAsia="仿宋_GB2312" w:hAnsi="Times New Roman" w:hint="eastAsia"/>
          <w:sz w:val="28"/>
          <w:szCs w:val="28"/>
        </w:rPr>
        <w:t>平台。</w:t>
      </w:r>
    </w:p>
    <w:p w:rsidR="00E75E23" w:rsidRPr="00E75E23" w:rsidRDefault="00E75E23">
      <w:pPr>
        <w:spacing w:line="540" w:lineRule="exact"/>
        <w:ind w:firstLineChars="200" w:firstLine="560"/>
        <w:rPr>
          <w:rFonts w:ascii="仿宋_GB2312" w:eastAsia="仿宋_GB2312" w:hAnsi="Times New Roman"/>
          <w:sz w:val="28"/>
          <w:szCs w:val="28"/>
        </w:rPr>
      </w:pPr>
      <w:r w:rsidRPr="00E75E23">
        <w:rPr>
          <w:rFonts w:ascii="仿宋_GB2312" w:eastAsia="仿宋_GB2312" w:hAnsi="Times New Roman" w:hint="eastAsia"/>
          <w:sz w:val="28"/>
          <w:szCs w:val="28"/>
        </w:rPr>
        <w:t>2. 线上线下混合课程的建设主要依托</w:t>
      </w:r>
      <w:proofErr w:type="gramStart"/>
      <w:r w:rsidRPr="00E75E23">
        <w:rPr>
          <w:rFonts w:ascii="仿宋_GB2312" w:eastAsia="仿宋_GB2312" w:hAnsi="Times New Roman" w:hint="eastAsia"/>
          <w:sz w:val="28"/>
          <w:szCs w:val="28"/>
        </w:rPr>
        <w:t>超星泛雅教学</w:t>
      </w:r>
      <w:proofErr w:type="gramEnd"/>
      <w:r w:rsidRPr="00E75E23">
        <w:rPr>
          <w:rFonts w:ascii="仿宋_GB2312" w:eastAsia="仿宋_GB2312" w:hAnsi="Times New Roman" w:hint="eastAsia"/>
          <w:sz w:val="28"/>
          <w:szCs w:val="28"/>
        </w:rPr>
        <w:t>平台、</w:t>
      </w:r>
      <w:proofErr w:type="gramStart"/>
      <w:r w:rsidRPr="00E75E23">
        <w:rPr>
          <w:rFonts w:ascii="仿宋_GB2312" w:eastAsia="仿宋_GB2312" w:hAnsi="Times New Roman" w:hint="eastAsia"/>
          <w:sz w:val="28"/>
          <w:szCs w:val="28"/>
        </w:rPr>
        <w:t>好大学</w:t>
      </w:r>
      <w:proofErr w:type="gramEnd"/>
      <w:r w:rsidRPr="00E75E23">
        <w:rPr>
          <w:rFonts w:ascii="仿宋_GB2312" w:eastAsia="仿宋_GB2312" w:hAnsi="Times New Roman" w:hint="eastAsia"/>
          <w:sz w:val="28"/>
          <w:szCs w:val="28"/>
        </w:rPr>
        <w:t>在线、中国大学 MOOC等网络平台。</w:t>
      </w:r>
    </w:p>
    <w:p w:rsidR="00E75E23" w:rsidRPr="00E75E23" w:rsidRDefault="00E75E23">
      <w:pPr>
        <w:spacing w:line="540" w:lineRule="exact"/>
        <w:ind w:firstLineChars="200" w:firstLine="560"/>
        <w:rPr>
          <w:rFonts w:ascii="仿宋_GB2312" w:eastAsia="仿宋_GB2312" w:hAnsi="Times New Roman"/>
          <w:sz w:val="28"/>
          <w:szCs w:val="28"/>
        </w:rPr>
      </w:pPr>
      <w:r w:rsidRPr="00E75E23">
        <w:rPr>
          <w:rFonts w:ascii="仿宋_GB2312" w:eastAsia="仿宋_GB2312" w:hAnsi="Times New Roman" w:hint="eastAsia"/>
          <w:sz w:val="28"/>
          <w:szCs w:val="28"/>
        </w:rPr>
        <w:t>3. 虚拟仿真课程平台的建设由网络信息中心负责实施。</w:t>
      </w:r>
    </w:p>
    <w:p w:rsidR="00E75E23" w:rsidRPr="00E75E23" w:rsidRDefault="00E75E23">
      <w:pPr>
        <w:spacing w:line="540" w:lineRule="exact"/>
        <w:ind w:firstLineChars="200" w:firstLine="562"/>
        <w:rPr>
          <w:rFonts w:ascii="仿宋_GB2312" w:eastAsia="仿宋_GB2312" w:hAnsi="Times New Roman"/>
          <w:b/>
          <w:bCs/>
          <w:sz w:val="28"/>
          <w:szCs w:val="28"/>
        </w:rPr>
      </w:pPr>
      <w:r w:rsidRPr="00E75E23">
        <w:rPr>
          <w:rFonts w:ascii="仿宋_GB2312" w:eastAsia="仿宋_GB2312" w:hAnsi="Times New Roman" w:hint="eastAsia"/>
          <w:b/>
          <w:bCs/>
          <w:sz w:val="28"/>
          <w:szCs w:val="28"/>
        </w:rPr>
        <w:t>（三）资金保障</w:t>
      </w:r>
    </w:p>
    <w:p w:rsidR="00E75E23" w:rsidRPr="00E75E23" w:rsidRDefault="00E75E23">
      <w:pPr>
        <w:spacing w:line="540" w:lineRule="exact"/>
        <w:ind w:firstLineChars="200" w:firstLine="560"/>
        <w:rPr>
          <w:rFonts w:ascii="仿宋_GB2312" w:eastAsia="仿宋_GB2312" w:hAnsi="Times New Roman"/>
          <w:sz w:val="28"/>
          <w:szCs w:val="28"/>
        </w:rPr>
      </w:pPr>
      <w:r w:rsidRPr="00E75E23">
        <w:rPr>
          <w:rFonts w:ascii="仿宋_GB2312" w:eastAsia="仿宋_GB2312" w:hAnsi="Times New Roman" w:hint="eastAsia"/>
          <w:sz w:val="28"/>
          <w:szCs w:val="28"/>
        </w:rPr>
        <w:t>1．一流课程建设经费由学校提供专项经费支持，具体标准如下：</w:t>
      </w:r>
    </w:p>
    <w:p w:rsidR="00E75E23" w:rsidRPr="00E75E23" w:rsidRDefault="00E75E23">
      <w:pPr>
        <w:spacing w:line="540" w:lineRule="exact"/>
        <w:ind w:firstLineChars="200" w:firstLine="560"/>
        <w:rPr>
          <w:rFonts w:ascii="仿宋_GB2312" w:eastAsia="仿宋_GB2312" w:hAnsi="Times New Roman"/>
          <w:sz w:val="28"/>
          <w:szCs w:val="28"/>
        </w:rPr>
      </w:pPr>
      <w:r w:rsidRPr="00E75E23">
        <w:rPr>
          <w:rFonts w:ascii="仿宋_GB2312" w:eastAsia="仿宋_GB2312" w:hAnsi="Times New Roman" w:hint="eastAsia"/>
          <w:sz w:val="28"/>
          <w:szCs w:val="28"/>
        </w:rPr>
        <w:t>（1）线下课程，校级每门资助1万元；省级每门资助2万元；国家级每门资助4万元；</w:t>
      </w:r>
    </w:p>
    <w:p w:rsidR="00E75E23" w:rsidRPr="00E75E23" w:rsidRDefault="00E75E23">
      <w:pPr>
        <w:spacing w:line="540" w:lineRule="exact"/>
        <w:ind w:firstLineChars="200" w:firstLine="560"/>
        <w:rPr>
          <w:rFonts w:ascii="仿宋_GB2312" w:eastAsia="仿宋_GB2312" w:hAnsi="Times New Roman"/>
          <w:sz w:val="28"/>
          <w:szCs w:val="28"/>
        </w:rPr>
      </w:pPr>
      <w:r w:rsidRPr="00E75E23">
        <w:rPr>
          <w:rFonts w:ascii="仿宋_GB2312" w:eastAsia="仿宋_GB2312" w:hAnsi="Times New Roman" w:hint="eastAsia"/>
          <w:sz w:val="28"/>
          <w:szCs w:val="28"/>
        </w:rPr>
        <w:t>（2）线上课程，校级每门资助8万元；省级每门资助10万元（在校级基础上追加2万元）；国家级每门资助15万元（在省级基础上追加5万元）；</w:t>
      </w:r>
    </w:p>
    <w:p w:rsidR="00E75E23" w:rsidRPr="00E75E23" w:rsidRDefault="00E75E23">
      <w:pPr>
        <w:spacing w:line="540" w:lineRule="exact"/>
        <w:ind w:firstLineChars="200" w:firstLine="560"/>
        <w:rPr>
          <w:rFonts w:ascii="仿宋_GB2312" w:eastAsia="仿宋_GB2312" w:hAnsi="Times New Roman"/>
          <w:sz w:val="28"/>
          <w:szCs w:val="28"/>
        </w:rPr>
      </w:pPr>
      <w:r w:rsidRPr="00E75E23">
        <w:rPr>
          <w:rFonts w:ascii="仿宋_GB2312" w:eastAsia="仿宋_GB2312" w:hAnsi="Times New Roman" w:hint="eastAsia"/>
          <w:sz w:val="28"/>
          <w:szCs w:val="28"/>
        </w:rPr>
        <w:t>（3）线上线下混合式课程：校级每门资助1万元；省级每门资</w:t>
      </w:r>
      <w:r w:rsidRPr="00E75E23">
        <w:rPr>
          <w:rFonts w:ascii="仿宋_GB2312" w:eastAsia="仿宋_GB2312" w:hAnsi="Times New Roman" w:hint="eastAsia"/>
          <w:sz w:val="28"/>
          <w:szCs w:val="28"/>
        </w:rPr>
        <w:lastRenderedPageBreak/>
        <w:t>助2万元；国家级每门资助4万元；</w:t>
      </w:r>
    </w:p>
    <w:p w:rsidR="00E75E23" w:rsidRPr="00E75E23" w:rsidRDefault="00E75E23">
      <w:pPr>
        <w:spacing w:line="540" w:lineRule="exact"/>
        <w:ind w:firstLineChars="200" w:firstLine="560"/>
        <w:rPr>
          <w:rFonts w:ascii="仿宋_GB2312" w:eastAsia="仿宋_GB2312" w:hAnsi="Times New Roman"/>
          <w:sz w:val="28"/>
          <w:szCs w:val="28"/>
        </w:rPr>
      </w:pPr>
      <w:r w:rsidRPr="00E75E23">
        <w:rPr>
          <w:rFonts w:ascii="仿宋_GB2312" w:eastAsia="仿宋_GB2312" w:hAnsi="Times New Roman" w:hint="eastAsia"/>
          <w:sz w:val="28"/>
          <w:szCs w:val="28"/>
        </w:rPr>
        <w:t>（4）虚拟仿真课程：校级10万元；省级30万元（在校级基础上追加20万元）；国家级50万元（在省级基础上追加20万元）；</w:t>
      </w:r>
    </w:p>
    <w:p w:rsidR="00E75E23" w:rsidRPr="00E75E23" w:rsidRDefault="00E75E23">
      <w:pPr>
        <w:spacing w:line="540" w:lineRule="exact"/>
        <w:ind w:firstLineChars="200" w:firstLine="560"/>
        <w:rPr>
          <w:rFonts w:ascii="仿宋_GB2312" w:eastAsia="仿宋_GB2312" w:hAnsi="Times New Roman"/>
          <w:sz w:val="28"/>
          <w:szCs w:val="28"/>
        </w:rPr>
      </w:pPr>
      <w:r w:rsidRPr="00E75E23">
        <w:rPr>
          <w:rFonts w:ascii="仿宋_GB2312" w:eastAsia="仿宋_GB2312" w:hAnsi="Times New Roman" w:hint="eastAsia"/>
          <w:sz w:val="28"/>
          <w:szCs w:val="28"/>
        </w:rPr>
        <w:t>（5）社会实践课程：校级每门资助1万元；省级每门资助2万元；国家级每门资助4万元。</w:t>
      </w:r>
    </w:p>
    <w:p w:rsidR="00E75E23" w:rsidRPr="00E75E23" w:rsidRDefault="00E75E23">
      <w:pPr>
        <w:spacing w:line="540" w:lineRule="exact"/>
        <w:ind w:firstLineChars="200" w:firstLine="560"/>
        <w:rPr>
          <w:rFonts w:ascii="仿宋_GB2312" w:eastAsia="仿宋_GB2312" w:hAnsi="Times New Roman"/>
          <w:sz w:val="28"/>
          <w:szCs w:val="28"/>
        </w:rPr>
      </w:pPr>
      <w:r w:rsidRPr="00E75E23">
        <w:rPr>
          <w:rFonts w:ascii="仿宋_GB2312" w:eastAsia="仿宋_GB2312" w:hAnsi="Times New Roman" w:hint="eastAsia"/>
          <w:sz w:val="28"/>
          <w:szCs w:val="28"/>
        </w:rPr>
        <w:t>2. 上述各类立项建设的课程，若上级文件规定的资助标准高于学校资助标准，则执行上级文件规定的标准。</w:t>
      </w:r>
    </w:p>
    <w:p w:rsidR="00E75E23" w:rsidRPr="00E75E23" w:rsidRDefault="00E75E23">
      <w:pPr>
        <w:spacing w:line="540" w:lineRule="exact"/>
        <w:ind w:firstLineChars="200" w:firstLine="560"/>
        <w:rPr>
          <w:rFonts w:ascii="仿宋_GB2312" w:eastAsia="仿宋_GB2312" w:hAnsi="Times New Roman"/>
          <w:sz w:val="28"/>
          <w:szCs w:val="28"/>
        </w:rPr>
      </w:pPr>
      <w:r w:rsidRPr="00E75E23">
        <w:rPr>
          <w:rFonts w:ascii="仿宋_GB2312" w:eastAsia="仿宋_GB2312" w:hAnsi="Times New Roman" w:hint="eastAsia"/>
          <w:sz w:val="28"/>
          <w:szCs w:val="28"/>
        </w:rPr>
        <w:t>3. 若立项课程归属的专业或相应平台（教学平台）入选校级或省级及以上资助项目，则从其项目经费中开支，学校</w:t>
      </w:r>
      <w:proofErr w:type="gramStart"/>
      <w:r w:rsidRPr="00E75E23">
        <w:rPr>
          <w:rFonts w:ascii="仿宋_GB2312" w:eastAsia="仿宋_GB2312" w:hAnsi="Times New Roman" w:hint="eastAsia"/>
          <w:sz w:val="28"/>
          <w:szCs w:val="28"/>
        </w:rPr>
        <w:t>不</w:t>
      </w:r>
      <w:proofErr w:type="gramEnd"/>
      <w:r w:rsidRPr="00E75E23">
        <w:rPr>
          <w:rFonts w:ascii="仿宋_GB2312" w:eastAsia="仿宋_GB2312" w:hAnsi="Times New Roman" w:hint="eastAsia"/>
          <w:sz w:val="28"/>
          <w:szCs w:val="28"/>
        </w:rPr>
        <w:t>另行配给资助经费（虚拟仿真课程除外）。</w:t>
      </w:r>
    </w:p>
    <w:p w:rsidR="00E75E23" w:rsidRPr="00E75E23" w:rsidRDefault="00E75E23">
      <w:pPr>
        <w:spacing w:line="540" w:lineRule="exact"/>
        <w:ind w:firstLineChars="200" w:firstLine="562"/>
        <w:rPr>
          <w:rFonts w:ascii="仿宋_GB2312" w:eastAsia="仿宋_GB2312" w:hAnsi="Times New Roman"/>
          <w:b/>
          <w:bCs/>
          <w:sz w:val="28"/>
          <w:szCs w:val="28"/>
        </w:rPr>
      </w:pPr>
      <w:r w:rsidRPr="00E75E23">
        <w:rPr>
          <w:rFonts w:ascii="仿宋_GB2312" w:eastAsia="仿宋_GB2312" w:hAnsi="Times New Roman" w:hint="eastAsia"/>
          <w:b/>
          <w:bCs/>
          <w:sz w:val="28"/>
          <w:szCs w:val="28"/>
        </w:rPr>
        <w:t>（四）奖励政策</w:t>
      </w:r>
    </w:p>
    <w:p w:rsidR="00E75E23" w:rsidRPr="00E75E23" w:rsidRDefault="00E75E23">
      <w:pPr>
        <w:spacing w:line="540" w:lineRule="exact"/>
        <w:ind w:firstLineChars="200" w:firstLine="560"/>
        <w:rPr>
          <w:rFonts w:ascii="仿宋_GB2312" w:eastAsia="仿宋_GB2312" w:hAnsi="Times New Roman"/>
          <w:sz w:val="28"/>
          <w:szCs w:val="28"/>
        </w:rPr>
      </w:pPr>
      <w:r w:rsidRPr="00E75E23">
        <w:rPr>
          <w:rFonts w:ascii="仿宋_GB2312" w:eastAsia="仿宋_GB2312" w:hAnsi="Times New Roman" w:hint="eastAsia"/>
          <w:sz w:val="28"/>
          <w:szCs w:val="28"/>
        </w:rPr>
        <w:t>1. 认定为国家级、省级一流课程，根据《井冈山大学教学工作奖励办法》中优质（精品）课程建设项目的奖金标准给予奖励；根据《井冈山大学教学和教研工作量计算办法》中教学建设一般项目教研工作量补助的国家级（或省级）标准给予补助，</w:t>
      </w:r>
      <w:r w:rsidRPr="00E75E23">
        <w:rPr>
          <w:rFonts w:ascii="仿宋_GB2312" w:eastAsia="仿宋_GB2312" w:hAnsi="仿宋" w:hint="eastAsia"/>
          <w:sz w:val="28"/>
          <w:szCs w:val="28"/>
        </w:rPr>
        <w:t>按学校有关规定认定学院（部）相应的教学工作绩效。</w:t>
      </w:r>
    </w:p>
    <w:p w:rsidR="00E75E23" w:rsidRPr="00E75E23" w:rsidRDefault="00E75E23">
      <w:pPr>
        <w:spacing w:line="540" w:lineRule="exact"/>
        <w:ind w:firstLineChars="200" w:firstLine="560"/>
        <w:rPr>
          <w:rFonts w:ascii="仿宋_GB2312" w:eastAsia="仿宋_GB2312" w:hAnsi="Times New Roman"/>
          <w:sz w:val="28"/>
          <w:szCs w:val="28"/>
        </w:rPr>
      </w:pPr>
      <w:r w:rsidRPr="00E75E23">
        <w:rPr>
          <w:rFonts w:ascii="仿宋_GB2312" w:eastAsia="仿宋_GB2312" w:hAnsi="Times New Roman" w:hint="eastAsia"/>
          <w:sz w:val="28"/>
          <w:szCs w:val="28"/>
        </w:rPr>
        <w:t>2. 认定为校级一流课程，根据《井冈山大学教学工作奖励办法》中省级优质（精品）课程奖金标准的80% 给予奖励；根据《井冈山大学教学和教研工作量计算办法》中校级教学建设一般项目的教研工作量补助标准给予补助，按学校有关规定认定学院（部）相应的教学工作绩效。</w:t>
      </w:r>
    </w:p>
    <w:p w:rsidR="00E75E23" w:rsidRPr="00E75E23" w:rsidRDefault="00E75E23">
      <w:pPr>
        <w:spacing w:line="540" w:lineRule="exact"/>
        <w:ind w:firstLineChars="200" w:firstLine="560"/>
        <w:rPr>
          <w:rFonts w:ascii="仿宋_GB2312" w:eastAsia="仿宋_GB2312" w:hAnsi="Times New Roman"/>
          <w:sz w:val="28"/>
          <w:szCs w:val="28"/>
        </w:rPr>
      </w:pPr>
      <w:r w:rsidRPr="00E75E23">
        <w:rPr>
          <w:rFonts w:ascii="仿宋_GB2312" w:eastAsia="仿宋_GB2312" w:hAnsi="Times New Roman" w:hint="eastAsia"/>
          <w:sz w:val="28"/>
          <w:szCs w:val="28"/>
        </w:rPr>
        <w:t>3. 对获得校级及以上一流课程称号的课程团队在教学研究与改革项目申报，教学成果申报、教学评优评先等方面予以倾斜。</w:t>
      </w:r>
    </w:p>
    <w:p w:rsidR="00E75E23" w:rsidRPr="00E75E23" w:rsidRDefault="00E75E23">
      <w:pPr>
        <w:spacing w:line="540" w:lineRule="exact"/>
        <w:ind w:firstLineChars="200" w:firstLine="560"/>
        <w:rPr>
          <w:rFonts w:ascii="仿宋_GB2312" w:eastAsia="仿宋_GB2312" w:hAnsi="Times New Roman"/>
          <w:sz w:val="28"/>
          <w:szCs w:val="28"/>
        </w:rPr>
      </w:pPr>
      <w:r w:rsidRPr="00E75E23">
        <w:rPr>
          <w:rFonts w:ascii="仿宋_GB2312" w:eastAsia="仿宋_GB2312" w:hAnsi="Times New Roman" w:hint="eastAsia"/>
          <w:sz w:val="28"/>
          <w:szCs w:val="28"/>
        </w:rPr>
        <w:t>4. 对获得省级及以上一流培育课程的领衔教授和课程建设负责人在职称评审、评优评</w:t>
      </w:r>
      <w:proofErr w:type="gramStart"/>
      <w:r w:rsidRPr="00E75E23">
        <w:rPr>
          <w:rFonts w:ascii="仿宋_GB2312" w:eastAsia="仿宋_GB2312" w:hAnsi="Times New Roman" w:hint="eastAsia"/>
          <w:sz w:val="28"/>
          <w:szCs w:val="28"/>
        </w:rPr>
        <w:t>先以及</w:t>
      </w:r>
      <w:proofErr w:type="gramEnd"/>
      <w:r w:rsidRPr="00E75E23">
        <w:rPr>
          <w:rFonts w:ascii="仿宋_GB2312" w:eastAsia="仿宋_GB2312" w:hAnsi="Times New Roman" w:hint="eastAsia"/>
          <w:sz w:val="28"/>
          <w:szCs w:val="28"/>
        </w:rPr>
        <w:t>业绩奖励等方面享受同等待遇。</w:t>
      </w:r>
    </w:p>
    <w:p w:rsidR="00E75E23" w:rsidRDefault="00E75E23">
      <w:pPr>
        <w:spacing w:line="540" w:lineRule="exact"/>
        <w:ind w:firstLineChars="200" w:firstLine="560"/>
        <w:rPr>
          <w:sz w:val="28"/>
          <w:szCs w:val="28"/>
        </w:rPr>
      </w:pPr>
    </w:p>
    <w:p w:rsidR="00E75E23" w:rsidRDefault="00E75E23">
      <w:pPr>
        <w:spacing w:line="540" w:lineRule="exact"/>
        <w:ind w:firstLineChars="200" w:firstLine="560"/>
        <w:rPr>
          <w:sz w:val="28"/>
          <w:szCs w:val="28"/>
        </w:rPr>
      </w:pPr>
    </w:p>
    <w:p w:rsidR="00E75E23" w:rsidRDefault="00E75E23">
      <w:pPr>
        <w:spacing w:line="540" w:lineRule="exact"/>
        <w:ind w:firstLineChars="200" w:firstLine="560"/>
        <w:rPr>
          <w:sz w:val="28"/>
          <w:szCs w:val="28"/>
        </w:rPr>
      </w:pPr>
    </w:p>
    <w:p w:rsidR="00E75E23" w:rsidRDefault="00E75E23">
      <w:pPr>
        <w:spacing w:line="540" w:lineRule="exact"/>
        <w:ind w:firstLineChars="200" w:firstLine="560"/>
        <w:rPr>
          <w:sz w:val="28"/>
          <w:szCs w:val="28"/>
        </w:rPr>
      </w:pPr>
    </w:p>
    <w:p w:rsidR="00E75E23" w:rsidRDefault="00E75E23">
      <w:pPr>
        <w:spacing w:line="540" w:lineRule="exact"/>
        <w:ind w:firstLineChars="200" w:firstLine="560"/>
        <w:rPr>
          <w:sz w:val="28"/>
          <w:szCs w:val="28"/>
        </w:rPr>
      </w:pPr>
    </w:p>
    <w:p w:rsidR="00E75E23" w:rsidRDefault="00E75E23">
      <w:pPr>
        <w:spacing w:line="540" w:lineRule="exact"/>
        <w:ind w:firstLineChars="200" w:firstLine="560"/>
        <w:rPr>
          <w:sz w:val="28"/>
          <w:szCs w:val="28"/>
        </w:rPr>
      </w:pPr>
    </w:p>
    <w:p w:rsidR="00E75E23" w:rsidRDefault="00E75E23">
      <w:pPr>
        <w:spacing w:line="540" w:lineRule="exact"/>
        <w:ind w:firstLineChars="200" w:firstLine="560"/>
        <w:rPr>
          <w:sz w:val="28"/>
          <w:szCs w:val="28"/>
        </w:rPr>
      </w:pPr>
    </w:p>
    <w:p w:rsidR="00E75E23" w:rsidRDefault="00E75E23">
      <w:pPr>
        <w:spacing w:line="540" w:lineRule="exact"/>
        <w:ind w:firstLineChars="200" w:firstLine="560"/>
        <w:rPr>
          <w:sz w:val="28"/>
          <w:szCs w:val="28"/>
        </w:rPr>
      </w:pPr>
    </w:p>
    <w:p w:rsidR="00E75E23" w:rsidRDefault="00E75E23">
      <w:pPr>
        <w:spacing w:line="540" w:lineRule="exact"/>
        <w:ind w:firstLineChars="200" w:firstLine="560"/>
        <w:rPr>
          <w:sz w:val="28"/>
          <w:szCs w:val="28"/>
        </w:rPr>
      </w:pPr>
    </w:p>
    <w:p w:rsidR="00E75E23" w:rsidRDefault="00E75E23">
      <w:pPr>
        <w:spacing w:line="540" w:lineRule="exact"/>
        <w:ind w:firstLineChars="200" w:firstLine="560"/>
        <w:rPr>
          <w:sz w:val="28"/>
          <w:szCs w:val="28"/>
        </w:rPr>
      </w:pPr>
    </w:p>
    <w:p w:rsidR="00E75E23" w:rsidRDefault="00E75E23">
      <w:pPr>
        <w:spacing w:line="540" w:lineRule="exact"/>
        <w:ind w:firstLineChars="200" w:firstLine="560"/>
        <w:rPr>
          <w:sz w:val="28"/>
          <w:szCs w:val="28"/>
        </w:rPr>
      </w:pPr>
    </w:p>
    <w:p w:rsidR="00E75E23" w:rsidRDefault="00E75E23">
      <w:pPr>
        <w:spacing w:line="540" w:lineRule="exact"/>
        <w:ind w:firstLineChars="200" w:firstLine="560"/>
        <w:rPr>
          <w:sz w:val="28"/>
          <w:szCs w:val="28"/>
        </w:rPr>
      </w:pPr>
    </w:p>
    <w:p w:rsidR="00E75E23" w:rsidRDefault="00E75E23">
      <w:pPr>
        <w:spacing w:line="540" w:lineRule="exact"/>
        <w:ind w:firstLineChars="200" w:firstLine="560"/>
        <w:rPr>
          <w:sz w:val="28"/>
          <w:szCs w:val="28"/>
        </w:rPr>
      </w:pPr>
    </w:p>
    <w:p w:rsidR="00E75E23" w:rsidRDefault="00E75E23">
      <w:pPr>
        <w:spacing w:line="540" w:lineRule="exact"/>
        <w:ind w:firstLineChars="200" w:firstLine="560"/>
        <w:rPr>
          <w:sz w:val="28"/>
          <w:szCs w:val="28"/>
        </w:rPr>
      </w:pPr>
    </w:p>
    <w:p w:rsidR="00E75E23" w:rsidRDefault="00E75E23">
      <w:pPr>
        <w:spacing w:line="540" w:lineRule="exact"/>
        <w:ind w:firstLineChars="200" w:firstLine="560"/>
        <w:rPr>
          <w:sz w:val="28"/>
          <w:szCs w:val="28"/>
        </w:rPr>
      </w:pPr>
    </w:p>
    <w:p w:rsidR="00E75E23" w:rsidRPr="00E75E23" w:rsidRDefault="00E75E23">
      <w:pPr>
        <w:spacing w:line="540" w:lineRule="exact"/>
        <w:ind w:firstLineChars="200" w:firstLine="560"/>
        <w:rPr>
          <w:rFonts w:hint="eastAsia"/>
          <w:sz w:val="28"/>
          <w:szCs w:val="28"/>
        </w:rPr>
      </w:pPr>
    </w:p>
    <w:p w:rsidR="00E75E23" w:rsidRPr="00E75E23" w:rsidRDefault="00E75E23">
      <w:pPr>
        <w:spacing w:line="540" w:lineRule="exact"/>
        <w:ind w:firstLineChars="200" w:firstLine="560"/>
        <w:rPr>
          <w:sz w:val="28"/>
          <w:szCs w:val="28"/>
        </w:rPr>
      </w:pPr>
    </w:p>
    <w:p w:rsidR="00E75E23" w:rsidRPr="00E75E23" w:rsidRDefault="00E75E23">
      <w:pPr>
        <w:spacing w:line="540" w:lineRule="exact"/>
        <w:ind w:left="1680" w:hangingChars="600" w:hanging="1680"/>
        <w:rPr>
          <w:sz w:val="28"/>
          <w:szCs w:val="28"/>
        </w:rPr>
      </w:pPr>
    </w:p>
    <w:p w:rsidR="00E75E23" w:rsidRDefault="00E75E23">
      <w:pPr>
        <w:jc w:val="left"/>
        <w:rPr>
          <w:sz w:val="28"/>
          <w:szCs w:val="28"/>
        </w:rPr>
      </w:pPr>
    </w:p>
    <w:p w:rsidR="00E75E23" w:rsidRDefault="00E75E23">
      <w:pPr>
        <w:jc w:val="left"/>
        <w:rPr>
          <w:sz w:val="28"/>
          <w:szCs w:val="28"/>
        </w:rPr>
      </w:pPr>
    </w:p>
    <w:p w:rsidR="00E75E23" w:rsidRPr="00E75E23" w:rsidRDefault="00E75E23">
      <w:pPr>
        <w:jc w:val="left"/>
        <w:rPr>
          <w:rFonts w:hint="eastAsia"/>
          <w:sz w:val="28"/>
          <w:szCs w:val="28"/>
        </w:rPr>
      </w:pPr>
      <w:bookmarkStart w:id="1" w:name="_GoBack"/>
      <w:bookmarkEnd w:id="1"/>
    </w:p>
    <w:p w:rsidR="00E75E23" w:rsidRPr="00E75E23" w:rsidRDefault="00E75E23">
      <w:pPr>
        <w:ind w:rightChars="400" w:right="840"/>
        <w:jc w:val="right"/>
        <w:rPr>
          <w:rFonts w:hint="eastAsia"/>
          <w:sz w:val="28"/>
          <w:szCs w:val="28"/>
        </w:rPr>
      </w:pPr>
      <w:r w:rsidRPr="00E75E23">
        <w:rPr>
          <w:sz w:val="28"/>
          <w:szCs w:val="28"/>
        </w:rPr>
        <w:t xml:space="preserve">                                </w:t>
      </w:r>
    </w:p>
    <w:p w:rsidR="00E75E23" w:rsidRPr="00E75E23" w:rsidRDefault="00E75E23">
      <w:pPr>
        <w:rPr>
          <w:sz w:val="28"/>
          <w:szCs w:val="28"/>
        </w:rPr>
      </w:pPr>
      <w:r w:rsidRPr="00E75E23">
        <w:rPr>
          <w:sz w:val="28"/>
          <w:szCs w:val="28"/>
          <w:lang w:val="en-US" w:eastAsia="zh-CN"/>
        </w:rPr>
        <w:pict>
          <v:line id="Line 6" o:spid="_x0000_s1030" style="position:absolute;left:0;text-align:left;z-index:251663360" from="0,28.9pt" to="442.2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Cj+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" strokeweight="1pt">
            <w10:anchorlock/>
          </v:line>
        </w:pict>
      </w:r>
    </w:p>
    <w:p w:rsidR="00E75E23" w:rsidRPr="00E75E23" w:rsidRDefault="00E75E23" w:rsidP="00E75E23">
      <w:pPr>
        <w:ind w:leftChars="100" w:left="1050" w:rightChars="100" w:right="210" w:hangingChars="300" w:hanging="840"/>
        <w:jc w:val="center"/>
        <w:rPr>
          <w:rFonts w:ascii="仿宋_GB2312" w:eastAsia="仿宋_GB2312" w:hAnsi="仿宋_GB2312" w:cs="仿宋_GB2312" w:hint="eastAsia"/>
          <w:sz w:val="28"/>
          <w:szCs w:val="28"/>
        </w:rPr>
      </w:pPr>
      <w:r w:rsidRPr="00E75E23">
        <w:rPr>
          <w:rFonts w:ascii="仿宋_GB2312" w:eastAsia="仿宋_GB2312" w:hAnsi="仿宋_GB2312" w:cs="仿宋_GB2312" w:hint="eastAsia"/>
          <w:sz w:val="28"/>
          <w:szCs w:val="28"/>
        </w:rPr>
        <w:t xml:space="preserve">井冈山大学校长办公室        </w:t>
      </w:r>
      <w:bookmarkStart w:id="2" w:name="封发日期"/>
      <w:r w:rsidRPr="00E75E23">
        <w:rPr>
          <w:rFonts w:ascii="仿宋_GB2312" w:eastAsia="仿宋_GB2312" w:hAnsi="仿宋_GB2312" w:cs="仿宋_GB2312" w:hint="eastAsia"/>
          <w:sz w:val="28"/>
          <w:szCs w:val="28"/>
        </w:rPr>
        <w:t>2019年10月24</w:t>
      </w:r>
      <w:bookmarkEnd w:id="2"/>
      <w:r w:rsidRPr="00E75E23">
        <w:rPr>
          <w:rFonts w:ascii="仿宋_GB2312" w:eastAsia="仿宋_GB2312" w:hAnsi="仿宋_GB2312" w:cs="仿宋_GB2312" w:hint="eastAsia"/>
          <w:sz w:val="28"/>
          <w:szCs w:val="28"/>
        </w:rPr>
        <w:t>日印发</w:t>
      </w:r>
      <w:r w:rsidRPr="00E75E23">
        <w:rPr>
          <w:rFonts w:ascii="仿宋_GB2312" w:eastAsia="仿宋_GB2312" w:hAnsi="仿宋_GB2312" w:cs="仿宋_GB2312" w:hint="eastAsia"/>
          <w:sz w:val="28"/>
          <w:szCs w:val="28"/>
          <w:lang w:val="en-US" w:eastAsia="zh-CN"/>
        </w:rPr>
        <w:pict>
          <v:line id="Line 5" o:spid="_x0000_s1029" style="position:absolute;left:0;text-align:left;z-index:251662336;mso-position-horizontal-relative:text;mso-position-vertical-relative:text" from="0,30.35pt" to="442.2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4hn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" strokeweight="1pt"/>
        </w:pict>
      </w:r>
      <w:r w:rsidRPr="00E75E23">
        <w:rPr>
          <w:rFonts w:ascii="仿宋_GB2312" w:eastAsia="仿宋_GB2312" w:hAnsi="仿宋_GB2312" w:cs="仿宋_GB2312" w:hint="eastAsia"/>
          <w:sz w:val="28"/>
          <w:szCs w:val="28"/>
          <w:lang w:val="en-US" w:eastAsia="zh-CN"/>
        </w:rPr>
        <w:pict>
          <v:line id="Line 4" o:spid="_x0000_s1028" style="position:absolute;left:0;text-align:left;z-index:251661312;mso-position-horizontal-relative:text;mso-position-vertical-relative:text" from="0,0" to="44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XLH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">
            <w10:anchorlock/>
          </v:line>
        </w:pict>
      </w:r>
    </w:p>
    <w:p w:rsidR="00D50F42" w:rsidRPr="00E75E23" w:rsidRDefault="00D50F42">
      <w:pPr>
        <w:rPr>
          <w:sz w:val="28"/>
          <w:szCs w:val="28"/>
        </w:rPr>
      </w:pPr>
    </w:p>
    <w:sectPr w:rsidR="00D50F42" w:rsidRPr="00E75E23" w:rsidSect="00AB4D2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黑体"/>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B60" w:rsidRDefault="00E75E23">
    <w:pPr>
      <w:pStyle w:val="a4"/>
      <w:framePr w:wrap="around" w:vAnchor="text" w:hAnchor="margin" w:xAlign="outside" w:y="1"/>
      <w:rPr>
        <w:rStyle w:val="a3"/>
      </w:rPr>
    </w:pPr>
    <w:r>
      <w:fldChar w:fldCharType="begin"/>
    </w:r>
    <w:r>
      <w:rPr>
        <w:rStyle w:val="a3"/>
      </w:rPr>
      <w:instrText xml:space="preserve">PAGE  </w:instrText>
    </w:r>
    <w:r>
      <w:fldChar w:fldCharType="separate"/>
    </w:r>
    <w:r>
      <w:rPr>
        <w:rStyle w:val="a3"/>
        <w:lang w:val="en-US" w:eastAsia="zh-CN"/>
      </w:rPr>
      <w:t>1</w:t>
    </w:r>
    <w:r>
      <w:fldChar w:fldCharType="end"/>
    </w:r>
  </w:p>
  <w:p w:rsidR="005B0B60" w:rsidRDefault="00E75E23">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B60" w:rsidRDefault="00E75E23">
    <w:pPr>
      <w:pStyle w:val="a4"/>
      <w:framePr w:wrap="around" w:vAnchor="text" w:hAnchor="margin" w:xAlign="outside" w:y="1"/>
      <w:ind w:leftChars="100" w:left="210" w:rightChars="100" w:right="210"/>
      <w:rPr>
        <w:rStyle w:val="a3"/>
        <w:b/>
        <w:bCs/>
        <w:sz w:val="28"/>
      </w:rPr>
    </w:pPr>
    <w:r>
      <w:rPr>
        <w:rStyle w:val="a3"/>
        <w:rFonts w:hint="eastAsia"/>
        <w:sz w:val="28"/>
      </w:rPr>
      <w:t>—</w:t>
    </w:r>
    <w:r>
      <w:rPr>
        <w:rStyle w:val="a3"/>
        <w:sz w:val="28"/>
      </w:rPr>
      <w:t xml:space="preserve"> </w:t>
    </w:r>
    <w:r>
      <w:rPr>
        <w:sz w:val="28"/>
      </w:rPr>
      <w:fldChar w:fldCharType="begin"/>
    </w:r>
    <w:r>
      <w:rPr>
        <w:rStyle w:val="a3"/>
        <w:sz w:val="28"/>
      </w:rPr>
      <w:instrText xml:space="preserve">PAGE  </w:instrText>
    </w:r>
    <w:r>
      <w:rPr>
        <w:sz w:val="28"/>
      </w:rPr>
      <w:fldChar w:fldCharType="separate"/>
    </w:r>
    <w:r>
      <w:rPr>
        <w:rStyle w:val="a3"/>
        <w:noProof/>
        <w:sz w:val="28"/>
      </w:rPr>
      <w:t>7</w:t>
    </w:r>
    <w:r>
      <w:rPr>
        <w:sz w:val="28"/>
      </w:rPr>
      <w:fldChar w:fldCharType="end"/>
    </w:r>
    <w:r>
      <w:rPr>
        <w:rStyle w:val="a3"/>
        <w:sz w:val="28"/>
      </w:rPr>
      <w:t xml:space="preserve"> </w:t>
    </w:r>
    <w:r>
      <w:rPr>
        <w:rStyle w:val="a3"/>
        <w:rFonts w:hint="eastAsia"/>
        <w:sz w:val="28"/>
      </w:rPr>
      <w:t>—</w:t>
    </w:r>
  </w:p>
  <w:p w:rsidR="005B0B60" w:rsidRDefault="00E75E23">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B60" w:rsidRDefault="00E75E23">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B60" w:rsidRDefault="00E75E2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B60" w:rsidRDefault="00E75E23">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B60" w:rsidRDefault="00E75E2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E0F"/>
    <w:rsid w:val="00140E0F"/>
    <w:rsid w:val="003774F0"/>
    <w:rsid w:val="00865563"/>
    <w:rsid w:val="00B150A6"/>
    <w:rsid w:val="00D50F42"/>
    <w:rsid w:val="00E75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E15C9BF7-2F3C-4DCF-8622-311A5200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75E23"/>
  </w:style>
  <w:style w:type="character" w:customStyle="1" w:styleId="Char">
    <w:name w:val="页脚 Char"/>
    <w:link w:val="a4"/>
    <w:uiPriority w:val="99"/>
    <w:rsid w:val="00E75E23"/>
    <w:rPr>
      <w:rFonts w:ascii="宋体" w:eastAsia="方正仿宋简体" w:hAnsi="宋体"/>
      <w:sz w:val="18"/>
      <w:szCs w:val="18"/>
    </w:rPr>
  </w:style>
  <w:style w:type="character" w:customStyle="1" w:styleId="Char0">
    <w:name w:val="页眉 Char"/>
    <w:link w:val="a5"/>
    <w:uiPriority w:val="99"/>
    <w:rsid w:val="00E75E23"/>
    <w:rPr>
      <w:rFonts w:ascii="宋体" w:eastAsia="方正仿宋简体" w:hAnsi="宋体"/>
      <w:sz w:val="18"/>
      <w:szCs w:val="18"/>
    </w:rPr>
  </w:style>
  <w:style w:type="paragraph" w:styleId="a5">
    <w:name w:val="header"/>
    <w:basedOn w:val="a"/>
    <w:link w:val="Char0"/>
    <w:uiPriority w:val="99"/>
    <w:unhideWhenUsed/>
    <w:rsid w:val="00E75E23"/>
    <w:pPr>
      <w:pBdr>
        <w:bottom w:val="single" w:sz="6" w:space="1" w:color="auto"/>
      </w:pBdr>
      <w:tabs>
        <w:tab w:val="center" w:pos="4153"/>
        <w:tab w:val="right" w:pos="8306"/>
      </w:tabs>
      <w:snapToGrid w:val="0"/>
      <w:jc w:val="center"/>
    </w:pPr>
    <w:rPr>
      <w:rFonts w:ascii="宋体" w:eastAsia="方正仿宋简体" w:hAnsi="宋体"/>
      <w:sz w:val="18"/>
      <w:szCs w:val="18"/>
    </w:rPr>
  </w:style>
  <w:style w:type="character" w:customStyle="1" w:styleId="Char1">
    <w:name w:val="页眉 Char1"/>
    <w:basedOn w:val="a0"/>
    <w:uiPriority w:val="99"/>
    <w:semiHidden/>
    <w:rsid w:val="00E75E23"/>
    <w:rPr>
      <w:sz w:val="18"/>
      <w:szCs w:val="18"/>
    </w:rPr>
  </w:style>
  <w:style w:type="paragraph" w:styleId="a4">
    <w:name w:val="footer"/>
    <w:basedOn w:val="a"/>
    <w:link w:val="Char"/>
    <w:uiPriority w:val="99"/>
    <w:unhideWhenUsed/>
    <w:rsid w:val="00E75E23"/>
    <w:pPr>
      <w:tabs>
        <w:tab w:val="center" w:pos="4153"/>
        <w:tab w:val="right" w:pos="8306"/>
      </w:tabs>
      <w:snapToGrid w:val="0"/>
      <w:jc w:val="left"/>
    </w:pPr>
    <w:rPr>
      <w:rFonts w:ascii="宋体" w:eastAsia="方正仿宋简体" w:hAnsi="宋体"/>
      <w:sz w:val="18"/>
      <w:szCs w:val="18"/>
    </w:rPr>
  </w:style>
  <w:style w:type="character" w:customStyle="1" w:styleId="Char10">
    <w:name w:val="页脚 Char1"/>
    <w:basedOn w:val="a0"/>
    <w:uiPriority w:val="99"/>
    <w:semiHidden/>
    <w:rsid w:val="00E75E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control" Target="activeX/activeX1.xml"/><Relationship Id="rId10" Type="http://schemas.openxmlformats.org/officeDocument/2006/relationships/header" Target="header3.xml"/><Relationship Id="rId4" Type="http://schemas.openxmlformats.org/officeDocument/2006/relationships/image" Target="media/image1.wmf"/><Relationship Id="rId9"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E531053D-0904-4D26-ABF3-6E07DD308AB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560</Words>
  <Characters>3197</Characters>
  <Application>Microsoft Office Word</Application>
  <DocSecurity>0</DocSecurity>
  <Lines>26</Lines>
  <Paragraphs>7</Paragraphs>
  <ScaleCrop>false</ScaleCrop>
  <Company/>
  <LinksUpToDate>false</LinksUpToDate>
  <CharactersWithSpaces>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jgsujwc</dc:creator>
  <cp:keywords/>
  <dc:description/>
  <cp:lastModifiedBy>jgsujwc</cp:lastModifiedBy>
  <cp:revision>2</cp:revision>
  <dcterms:created xsi:type="dcterms:W3CDTF">2019-12-05T10:25:00Z</dcterms:created>
  <dcterms:modified xsi:type="dcterms:W3CDTF">2019-12-05T10:26:00Z</dcterms:modified>
</cp:coreProperties>
</file>